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BF18D9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DOSTAWA </w:t>
      </w:r>
      <w:r w:rsidR="00467C1E">
        <w:rPr>
          <w:rFonts w:ascii="Calibri" w:hAnsi="Calibri" w:cs="Calibri"/>
          <w:b/>
          <w:i/>
          <w:sz w:val="32"/>
          <w:szCs w:val="32"/>
        </w:rPr>
        <w:t>ENERGII ELEKTRYCZNEJ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8B4937">
        <w:rPr>
          <w:rFonts w:ascii="Calibri" w:hAnsi="Calibri" w:cs="Calibri"/>
        </w:rPr>
        <w:t>22 r. poz. 1710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FB546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5707D0">
        <w:rPr>
          <w:rFonts w:ascii="Calibri" w:hAnsi="Calibri" w:cs="Calibri"/>
        </w:rPr>
        <w:t>18 październik</w:t>
      </w:r>
      <w:r w:rsidR="00455E54">
        <w:rPr>
          <w:rFonts w:ascii="Calibri" w:hAnsi="Calibri" w:cs="Calibri"/>
        </w:rPr>
        <w:t xml:space="preserve"> 2022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9075CC">
      <w:pPr>
        <w:pStyle w:val="Akapitzlist"/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9075CC">
      <w:pPr>
        <w:pStyle w:val="Akapitzlist"/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ADRES STRONY INTERNETOWEJ, NA KTÓREJ UDOSTĘPNIANE BĘDĄ ZMIANY </w:t>
      </w:r>
      <w:r w:rsidR="001701AB">
        <w:rPr>
          <w:rFonts w:ascii="Calibri" w:hAnsi="Calibri" w:cs="Calibri"/>
          <w:b/>
          <w:highlight w:val="lightGray"/>
        </w:rPr>
        <w:br/>
      </w:r>
      <w:r w:rsidRPr="007074C9">
        <w:rPr>
          <w:rFonts w:ascii="Calibri" w:hAnsi="Calibri" w:cs="Calibri"/>
          <w:b/>
          <w:highlight w:val="lightGray"/>
        </w:rPr>
        <w:t>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9075CC">
      <w:pPr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8B4937">
        <w:rPr>
          <w:rFonts w:ascii="Calibri" w:hAnsi="Calibri" w:cs="Calibri"/>
        </w:rPr>
        <w:t>(Dz. U. z 2022 r. poz. 1710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9075CC">
      <w:pPr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9075CC">
      <w:pPr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Default="00AA0306" w:rsidP="009075CC">
      <w:pPr>
        <w:pStyle w:val="Akapitzlist"/>
        <w:numPr>
          <w:ilvl w:val="1"/>
          <w:numId w:val="31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FD2E4C" w:rsidRDefault="00FD2E4C" w:rsidP="00FD2E4C">
      <w:pPr>
        <w:pStyle w:val="Akapitzlist1"/>
        <w:ind w:left="0"/>
        <w:jc w:val="both"/>
        <w:rPr>
          <w:rFonts w:cs="Calibri"/>
          <w:color w:val="000000"/>
          <w:sz w:val="24"/>
          <w:u w:val="single"/>
        </w:rPr>
      </w:pPr>
    </w:p>
    <w:p w:rsidR="00467C1E" w:rsidRPr="0059678F" w:rsidRDefault="00467C1E" w:rsidP="009075CC">
      <w:pPr>
        <w:pStyle w:val="Akapitzlist1"/>
        <w:numPr>
          <w:ilvl w:val="0"/>
          <w:numId w:val="32"/>
        </w:numPr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>Przedmiotem zamówienia jest dostawa energii elektrycznej dla potrzeb Muzeum Rolnictwa im. ks. Krzysztofa Kluka w Ciechanowcu wg poniższych punktów poboru mocy: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1. PL_ZEBB_2013018677_06, tar. G12w, Ciechanowiec, ul. Pałacowa 8B/4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2. PL_ZEBB_2013025779_03, tar. C12a, Ciechanowiec, ul. Pałacowa 5</w:t>
      </w:r>
    </w:p>
    <w:p w:rsidR="00467C1E" w:rsidRPr="0059678F" w:rsidRDefault="00467C1E" w:rsidP="0059678F">
      <w:pPr>
        <w:tabs>
          <w:tab w:val="left" w:pos="3060"/>
        </w:tabs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3. PL_ZEBB_1416010394_00, tar. C12a, Boguty-Pianki, Drewnowo-Ziemaki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4. PL_ZEBB_2013023521_02,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5. PL_ZEBB_2013029988_04,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6. PL_ZEBB_2013029987_02,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lastRenderedPageBreak/>
        <w:t>7. PL_ZEBB_2013010652_02,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8. PL_ZEBB_2013021154_09, tar. G12w, Ciechanowiec, ul. Pałacowa 8B/3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9. PL_ZEBB_2013022503_01,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10. PL_ZEBB_2013033100_06, tar. C12a, Ciechanowiec, Winna-Chroły 25A</w:t>
      </w:r>
    </w:p>
    <w:p w:rsidR="00467C1E" w:rsidRDefault="00467C1E" w:rsidP="0059678F">
      <w:pPr>
        <w:spacing w:after="0" w:line="240" w:lineRule="auto"/>
        <w:ind w:left="567" w:firstLine="284"/>
        <w:rPr>
          <w:rFonts w:ascii="Calibri" w:hAnsi="Calibri" w:cs="Calibri"/>
          <w:color w:val="000000" w:themeColor="text1"/>
          <w:szCs w:val="24"/>
        </w:rPr>
      </w:pPr>
      <w:r w:rsidRPr="0059678F">
        <w:rPr>
          <w:rFonts w:ascii="Calibri" w:hAnsi="Calibri" w:cs="Calibri"/>
          <w:szCs w:val="24"/>
        </w:rPr>
        <w:t xml:space="preserve">11. PL_ZEBB_2013029257_09, tar. C12a, Ciechanowiec, </w:t>
      </w:r>
      <w:r w:rsidRPr="0059678F">
        <w:rPr>
          <w:rFonts w:ascii="Calibri" w:hAnsi="Calibri" w:cs="Calibri"/>
          <w:color w:val="000000" w:themeColor="text1"/>
          <w:szCs w:val="24"/>
        </w:rPr>
        <w:t>ul. Pałacowa 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12. PL_ZEBB_2013033099_07</w:t>
      </w:r>
      <w:r w:rsidRPr="0059678F">
        <w:rPr>
          <w:rFonts w:ascii="Calibri" w:hAnsi="Calibri" w:cs="Calibri"/>
          <w:szCs w:val="24"/>
        </w:rPr>
        <w:t xml:space="preserve"> tar. C12a,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13. PL_ZEBB_2013035516_03 tar. C23 </w:t>
      </w:r>
      <w:r w:rsidRPr="0059678F">
        <w:rPr>
          <w:rFonts w:ascii="Calibri" w:hAnsi="Calibri" w:cs="Calibri"/>
          <w:szCs w:val="24"/>
        </w:rPr>
        <w:t xml:space="preserve">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14. PL_ZEBB_2013035515_01 tar. C23</w:t>
      </w:r>
      <w:r w:rsidRPr="0059678F">
        <w:rPr>
          <w:rFonts w:ascii="Calibri" w:hAnsi="Calibri" w:cs="Calibri"/>
          <w:szCs w:val="24"/>
        </w:rPr>
        <w:t xml:space="preserve">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15. PL_ZEBB_2013035891_09 tar. C23</w:t>
      </w:r>
      <w:r w:rsidRPr="0059678F">
        <w:rPr>
          <w:rFonts w:ascii="Calibri" w:hAnsi="Calibri" w:cs="Calibri"/>
          <w:szCs w:val="24"/>
        </w:rPr>
        <w:t xml:space="preserve">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5</w:t>
      </w:r>
    </w:p>
    <w:p w:rsidR="0059678F" w:rsidRDefault="0059678F" w:rsidP="00825518">
      <w:pPr>
        <w:pStyle w:val="Akapitzlist1"/>
        <w:ind w:left="0"/>
        <w:jc w:val="both"/>
        <w:rPr>
          <w:rFonts w:cs="Calibri"/>
          <w:sz w:val="24"/>
          <w:szCs w:val="24"/>
        </w:rPr>
      </w:pPr>
    </w:p>
    <w:p w:rsidR="0059678F" w:rsidRPr="00657A26" w:rsidRDefault="00467C1E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657A26">
        <w:rPr>
          <w:rFonts w:cs="Calibri"/>
          <w:color w:val="000000" w:themeColor="text1"/>
          <w:sz w:val="24"/>
          <w:szCs w:val="24"/>
        </w:rPr>
        <w:t>Szacunkowe zużycie energii elektrycznej w okresi</w:t>
      </w:r>
      <w:r w:rsidR="00825518" w:rsidRPr="00657A26">
        <w:rPr>
          <w:rFonts w:cs="Calibri"/>
          <w:color w:val="000000" w:themeColor="text1"/>
          <w:sz w:val="24"/>
          <w:szCs w:val="24"/>
        </w:rPr>
        <w:t xml:space="preserve">e obowiązywania umowy: </w:t>
      </w:r>
      <w:r w:rsidR="00657A26">
        <w:rPr>
          <w:rFonts w:cs="Calibri"/>
          <w:color w:val="000000" w:themeColor="text1"/>
          <w:sz w:val="24"/>
          <w:szCs w:val="24"/>
        </w:rPr>
        <w:br/>
      </w:r>
      <w:r w:rsidR="00825518" w:rsidRPr="00657A26">
        <w:rPr>
          <w:rFonts w:cs="Calibri"/>
          <w:color w:val="000000" w:themeColor="text1"/>
          <w:sz w:val="24"/>
          <w:szCs w:val="24"/>
        </w:rPr>
        <w:t xml:space="preserve">C12a - </w:t>
      </w:r>
      <w:r w:rsidR="005707D0">
        <w:rPr>
          <w:rFonts w:cs="Calibri"/>
          <w:color w:val="000000" w:themeColor="text1"/>
          <w:sz w:val="24"/>
          <w:szCs w:val="24"/>
        </w:rPr>
        <w:t>150</w:t>
      </w:r>
      <w:r w:rsidRPr="00657A26">
        <w:rPr>
          <w:rFonts w:cs="Calibri"/>
          <w:color w:val="000000" w:themeColor="text1"/>
          <w:sz w:val="24"/>
          <w:szCs w:val="24"/>
        </w:rPr>
        <w:t xml:space="preserve"> MWh, C</w:t>
      </w:r>
      <w:r w:rsidR="00825518" w:rsidRPr="00657A26">
        <w:rPr>
          <w:rFonts w:cs="Calibri"/>
          <w:color w:val="000000" w:themeColor="text1"/>
          <w:sz w:val="24"/>
          <w:szCs w:val="24"/>
        </w:rPr>
        <w:t>23</w:t>
      </w:r>
      <w:r w:rsidRPr="00657A26">
        <w:rPr>
          <w:rFonts w:cs="Calibri"/>
          <w:color w:val="000000" w:themeColor="text1"/>
          <w:sz w:val="24"/>
          <w:szCs w:val="24"/>
        </w:rPr>
        <w:t> </w:t>
      </w:r>
      <w:r w:rsidR="00825518" w:rsidRPr="00657A26">
        <w:rPr>
          <w:rFonts w:cs="Calibri"/>
          <w:color w:val="000000" w:themeColor="text1"/>
          <w:sz w:val="24"/>
          <w:szCs w:val="24"/>
        </w:rPr>
        <w:t>–</w:t>
      </w:r>
      <w:r w:rsidRPr="00657A26">
        <w:rPr>
          <w:rFonts w:cs="Calibri"/>
          <w:color w:val="000000" w:themeColor="text1"/>
          <w:sz w:val="24"/>
          <w:szCs w:val="24"/>
        </w:rPr>
        <w:t xml:space="preserve"> </w:t>
      </w:r>
      <w:r w:rsidR="005707D0">
        <w:rPr>
          <w:rFonts w:cs="Calibri"/>
          <w:color w:val="000000" w:themeColor="text1"/>
          <w:sz w:val="24"/>
          <w:szCs w:val="24"/>
        </w:rPr>
        <w:t>200</w:t>
      </w:r>
      <w:r w:rsidR="00657A26" w:rsidRPr="00657A26">
        <w:rPr>
          <w:rFonts w:cs="Calibri"/>
          <w:color w:val="000000" w:themeColor="text1"/>
          <w:sz w:val="24"/>
          <w:szCs w:val="24"/>
        </w:rPr>
        <w:t xml:space="preserve"> MWh, G12w – 0,1</w:t>
      </w:r>
      <w:r w:rsidR="00825518" w:rsidRPr="00657A26">
        <w:rPr>
          <w:rFonts w:cs="Calibri"/>
          <w:color w:val="000000" w:themeColor="text1"/>
          <w:sz w:val="24"/>
          <w:szCs w:val="24"/>
        </w:rPr>
        <w:t xml:space="preserve"> MWh. </w:t>
      </w:r>
    </w:p>
    <w:p w:rsidR="000C550C" w:rsidRPr="00657A26" w:rsidRDefault="00467C1E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657A26">
        <w:rPr>
          <w:rFonts w:cs="Calibri"/>
          <w:color w:val="000000" w:themeColor="text1"/>
          <w:sz w:val="24"/>
          <w:szCs w:val="24"/>
        </w:rPr>
        <w:t xml:space="preserve">Planowana produkcja energii elektrycznej z paneli fotowoltaicznych maksymalnie do </w:t>
      </w:r>
      <w:r w:rsidR="00657A26">
        <w:rPr>
          <w:rFonts w:cs="Calibri"/>
          <w:color w:val="000000" w:themeColor="text1"/>
          <w:sz w:val="24"/>
          <w:szCs w:val="24"/>
        </w:rPr>
        <w:br/>
      </w:r>
      <w:r w:rsidR="005707D0">
        <w:rPr>
          <w:rFonts w:cs="Calibri"/>
          <w:color w:val="000000" w:themeColor="text1"/>
          <w:sz w:val="24"/>
          <w:szCs w:val="24"/>
        </w:rPr>
        <w:t>1</w:t>
      </w:r>
      <w:r w:rsidR="00657A26" w:rsidRPr="00657A26">
        <w:rPr>
          <w:rFonts w:cs="Calibri"/>
          <w:color w:val="000000" w:themeColor="text1"/>
          <w:sz w:val="24"/>
          <w:szCs w:val="24"/>
        </w:rPr>
        <w:t>70</w:t>
      </w:r>
      <w:r w:rsidRPr="00657A26">
        <w:rPr>
          <w:rFonts w:cs="Calibri"/>
          <w:color w:val="000000" w:themeColor="text1"/>
          <w:sz w:val="24"/>
          <w:szCs w:val="24"/>
        </w:rPr>
        <w:t xml:space="preserve"> MWh.</w:t>
      </w:r>
    </w:p>
    <w:p w:rsidR="00FD2E4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 xml:space="preserve">Powyższe dane mają charakter orientacyjny i stanowią element niezbędny do wyboru oferty najkorzystniejszej. Podana ilość nie stanowi zobowiązania Zamawiającego do zakupu energii elektrycznej w podanych ilościach. Rozliczenie dostawy odbywać się będzie na podstawie faktycznego zużycia oraz produkcji energii wg cen wynikających ze złożonej oferty. 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Zamawiający dysponuje tytułem prawnym (akt notarialny, umowa najmu, itp.), który upoważnia go do swobodnego dysponowania obiektami opisanymi w przedmiocie zamówienia.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Zamawiający przekaże niezbędne dane do przeprowadzenia procedury zmiany sprzedawcy w wersji elektronicznej niezwłocznie po wyborze Wykonawcy w zakresie nie opisanym w SWZ. 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Zamawiający przekaże niezbędne dokumenty (pełnomocnictwo, NIP, Regon) do przeprowadzenia procedury zmiany sprzedawcy. 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Zamawiający informuje, że nie posiada statusu:</w:t>
      </w:r>
    </w:p>
    <w:p w:rsidR="000C550C" w:rsidRPr="00CB7194" w:rsidRDefault="00CB7194" w:rsidP="009075CC">
      <w:pPr>
        <w:pStyle w:val="Akapitzlist1"/>
        <w:numPr>
          <w:ilvl w:val="0"/>
          <w:numId w:val="33"/>
        </w:numPr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</w:t>
      </w:r>
      <w:r w:rsidR="000C550C" w:rsidRPr="00CB7194">
        <w:rPr>
          <w:rFonts w:cs="Calibri"/>
          <w:color w:val="000000" w:themeColor="text1"/>
          <w:sz w:val="24"/>
          <w:szCs w:val="24"/>
        </w:rPr>
        <w:t>ytwórcy energii o odnawialnych źródłach energii</w:t>
      </w:r>
      <w:r>
        <w:rPr>
          <w:rFonts w:cs="Calibri"/>
          <w:color w:val="000000" w:themeColor="text1"/>
          <w:sz w:val="24"/>
          <w:szCs w:val="24"/>
        </w:rPr>
        <w:t>.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Okres rozliczeniowy/cykl przekazywania danych pomiarowych w odniesieniu do w/w PPE wynosi 1 miesiąc. </w:t>
      </w:r>
    </w:p>
    <w:p w:rsidR="000C550C" w:rsidRPr="00CB7194" w:rsidRDefault="000C550C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Zamawiający posiada aktualnie rozdzielone umowy:</w:t>
      </w:r>
    </w:p>
    <w:p w:rsidR="000C550C" w:rsidRPr="00CB7194" w:rsidRDefault="00CB7194" w:rsidP="009075CC">
      <w:pPr>
        <w:pStyle w:val="Akapitzlist1"/>
        <w:numPr>
          <w:ilvl w:val="0"/>
          <w:numId w:val="34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n</w:t>
      </w:r>
      <w:r w:rsidR="000C550C" w:rsidRPr="00CB7194">
        <w:rPr>
          <w:rFonts w:cs="Calibri"/>
          <w:color w:val="000000" w:themeColor="text1"/>
          <w:sz w:val="24"/>
          <w:szCs w:val="24"/>
        </w:rPr>
        <w:t>a sprzedaż energii elektrycznej,</w:t>
      </w:r>
      <w:r w:rsidRPr="00CB7194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jest </w:t>
      </w:r>
      <w:r w:rsidRPr="00CB7194">
        <w:rPr>
          <w:rFonts w:cs="Calibri"/>
          <w:color w:val="000000" w:themeColor="text1"/>
          <w:sz w:val="24"/>
          <w:szCs w:val="24"/>
        </w:rPr>
        <w:t>zawarta na cz</w:t>
      </w:r>
      <w:r w:rsidR="005707D0">
        <w:rPr>
          <w:rFonts w:cs="Calibri"/>
          <w:color w:val="000000" w:themeColor="text1"/>
          <w:sz w:val="24"/>
          <w:szCs w:val="24"/>
        </w:rPr>
        <w:t>as określony i wygasa z dniem 31</w:t>
      </w:r>
      <w:r w:rsidRPr="00CB7194">
        <w:rPr>
          <w:rFonts w:cs="Calibri"/>
          <w:color w:val="000000" w:themeColor="text1"/>
          <w:sz w:val="24"/>
          <w:szCs w:val="24"/>
        </w:rPr>
        <w:t xml:space="preserve"> </w:t>
      </w:r>
      <w:r w:rsidR="005707D0">
        <w:rPr>
          <w:rFonts w:cs="Calibri"/>
          <w:color w:val="000000" w:themeColor="text1"/>
          <w:sz w:val="24"/>
          <w:szCs w:val="24"/>
        </w:rPr>
        <w:t xml:space="preserve">grudnia </w:t>
      </w:r>
      <w:r w:rsidRPr="00CB7194">
        <w:rPr>
          <w:rFonts w:cs="Calibri"/>
          <w:color w:val="000000" w:themeColor="text1"/>
          <w:sz w:val="24"/>
          <w:szCs w:val="24"/>
        </w:rPr>
        <w:t xml:space="preserve">2022 r. </w:t>
      </w:r>
    </w:p>
    <w:p w:rsidR="00CB7194" w:rsidRPr="00CB7194" w:rsidRDefault="00CB7194" w:rsidP="009075CC">
      <w:pPr>
        <w:pStyle w:val="Akapitzlist1"/>
        <w:numPr>
          <w:ilvl w:val="0"/>
          <w:numId w:val="34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u</w:t>
      </w:r>
      <w:r w:rsidR="000C550C" w:rsidRPr="00CB7194">
        <w:rPr>
          <w:rFonts w:cs="Calibri"/>
          <w:color w:val="000000" w:themeColor="text1"/>
          <w:sz w:val="24"/>
          <w:szCs w:val="24"/>
        </w:rPr>
        <w:t>mowę na świadczenie usług dystrybucji</w:t>
      </w:r>
      <w:r w:rsidRPr="00CB7194">
        <w:rPr>
          <w:rFonts w:cs="Calibri"/>
          <w:color w:val="000000" w:themeColor="text1"/>
          <w:sz w:val="24"/>
          <w:szCs w:val="24"/>
        </w:rPr>
        <w:t>, jest zawarta na czas nieokreślony,</w:t>
      </w:r>
      <w:r w:rsidRPr="00CB7194">
        <w:rPr>
          <w:rFonts w:cs="Calibri"/>
          <w:color w:val="000000" w:themeColor="text1"/>
          <w:szCs w:val="20"/>
        </w:rPr>
        <w:t xml:space="preserve"> </w:t>
      </w:r>
      <w:r w:rsidRPr="00CB7194">
        <w:rPr>
          <w:rFonts w:cs="Calibri"/>
          <w:color w:val="000000" w:themeColor="text1"/>
          <w:sz w:val="24"/>
          <w:szCs w:val="24"/>
        </w:rPr>
        <w:t>Operatorem Systemu Dystrybucji Zamawiającego jest PGE Dystrybucja Spółka Akcyjna z siedzibą w Lublinie</w:t>
      </w:r>
      <w:r>
        <w:rPr>
          <w:rFonts w:cs="Calibri"/>
          <w:color w:val="000000" w:themeColor="text1"/>
          <w:sz w:val="24"/>
          <w:szCs w:val="24"/>
        </w:rPr>
        <w:t>.</w:t>
      </w:r>
    </w:p>
    <w:p w:rsidR="000C550C" w:rsidRDefault="000C550C" w:rsidP="00CB7194">
      <w:pPr>
        <w:pStyle w:val="Akapitzlist1"/>
        <w:ind w:left="1080"/>
        <w:jc w:val="both"/>
        <w:rPr>
          <w:rFonts w:cs="Calibri"/>
          <w:color w:val="FF0000"/>
          <w:sz w:val="24"/>
          <w:szCs w:val="24"/>
        </w:rPr>
      </w:pPr>
    </w:p>
    <w:p w:rsidR="00467C1E" w:rsidRPr="00CB7194" w:rsidRDefault="00467C1E" w:rsidP="009075CC">
      <w:pPr>
        <w:pStyle w:val="Akapitzlist1"/>
        <w:numPr>
          <w:ilvl w:val="0"/>
          <w:numId w:val="32"/>
        </w:numPr>
        <w:jc w:val="both"/>
        <w:rPr>
          <w:rFonts w:cs="Calibri"/>
          <w:color w:val="FF0000"/>
          <w:sz w:val="24"/>
          <w:szCs w:val="24"/>
        </w:rPr>
      </w:pPr>
      <w:r w:rsidRPr="00CB7194">
        <w:rPr>
          <w:rFonts w:cs="Calibri"/>
          <w:sz w:val="24"/>
          <w:szCs w:val="24"/>
        </w:rPr>
        <w:t>Przedmiot zamówienia realizowany będzie na warunkach określonych w ustawie z dnia 10.04.1997 r. – Prawo energetyczne (Dz. U. z 2019 r. poz. 755 ze zm.) wraz z przepisami wykonawczymi.</w:t>
      </w:r>
    </w:p>
    <w:p w:rsidR="00553995" w:rsidRDefault="00553995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CB7194" w:rsidRPr="00553995" w:rsidRDefault="00CB7194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553995" w:rsidRPr="00810A3F" w:rsidRDefault="00553995" w:rsidP="0059678F">
      <w:pPr>
        <w:pStyle w:val="Akapitzlist"/>
        <w:spacing w:after="1" w:line="250" w:lineRule="auto"/>
        <w:ind w:left="1418" w:right="43" w:hanging="851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553995" w:rsidRDefault="0059678F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09310000 – 5</w:t>
      </w:r>
      <w:r w:rsidR="00553995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 xml:space="preserve">Elektryczność </w:t>
      </w:r>
      <w:r w:rsidR="00553995">
        <w:rPr>
          <w:rFonts w:ascii="Calibri" w:hAnsi="Calibri" w:cs="Calibri"/>
          <w:b/>
        </w:rPr>
        <w:t xml:space="preserve"> 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</w:p>
    <w:p w:rsidR="001A4B2A" w:rsidRPr="0073059B" w:rsidRDefault="001A4B2A" w:rsidP="0073059B">
      <w:pPr>
        <w:spacing w:after="1" w:line="250" w:lineRule="auto"/>
        <w:ind w:left="567" w:right="43" w:firstLine="142"/>
        <w:rPr>
          <w:rFonts w:ascii="Calibri" w:hAnsi="Calibri" w:cs="Calibri"/>
          <w:b/>
        </w:rPr>
      </w:pPr>
    </w:p>
    <w:p w:rsidR="009667AC" w:rsidRPr="00810A3F" w:rsidRDefault="000E1B20" w:rsidP="009075CC">
      <w:pPr>
        <w:pStyle w:val="Akapitzlist"/>
        <w:numPr>
          <w:ilvl w:val="1"/>
          <w:numId w:val="16"/>
        </w:numPr>
        <w:spacing w:after="1" w:line="259" w:lineRule="auto"/>
        <w:jc w:val="left"/>
        <w:rPr>
          <w:rFonts w:ascii="Calibri" w:hAnsi="Calibri" w:cs="Calibri"/>
        </w:rPr>
      </w:pPr>
      <w:r w:rsidRPr="00EA7AD9">
        <w:rPr>
          <w:rFonts w:ascii="Calibri" w:hAnsi="Calibri" w:cs="Calibri"/>
        </w:rPr>
        <w:t xml:space="preserve"> </w:t>
      </w:r>
      <w:r w:rsidR="009667AC" w:rsidRPr="00810A3F">
        <w:rPr>
          <w:rFonts w:ascii="Calibri" w:hAnsi="Calibri" w:cs="Calibri"/>
        </w:rPr>
        <w:t xml:space="preserve">OBOWIĄZEK ZATRUDNIENIA NA PODSTAWIE UMOWY O PRACĘ. </w:t>
      </w:r>
    </w:p>
    <w:p w:rsidR="00910E92" w:rsidRPr="00910E92" w:rsidRDefault="00910E92" w:rsidP="009075CC">
      <w:pPr>
        <w:pStyle w:val="Akapitzlist"/>
        <w:numPr>
          <w:ilvl w:val="0"/>
          <w:numId w:val="30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</w:t>
      </w:r>
      <w:r>
        <w:rPr>
          <w:rFonts w:ascii="Calibri" w:hAnsi="Calibri" w:cs="Calibri"/>
        </w:rPr>
        <w:t xml:space="preserve">95 ustawy. </w:t>
      </w:r>
    </w:p>
    <w:p w:rsidR="00910E92" w:rsidRDefault="009667AC" w:rsidP="009075CC">
      <w:pPr>
        <w:pStyle w:val="Akapitzlist"/>
        <w:numPr>
          <w:ilvl w:val="0"/>
          <w:numId w:val="30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910E92" w:rsidRPr="00910E92" w:rsidRDefault="00910E92" w:rsidP="00910E92">
      <w:pPr>
        <w:pStyle w:val="Akapitzlist"/>
        <w:spacing w:afterLines="120" w:after="288" w:line="266" w:lineRule="auto"/>
        <w:ind w:left="981" w:right="51" w:firstLine="0"/>
        <w:rPr>
          <w:rFonts w:ascii="Calibri" w:hAnsi="Calibri" w:cs="Calibri"/>
        </w:rPr>
      </w:pPr>
    </w:p>
    <w:p w:rsidR="001403A5" w:rsidRPr="00EC619A" w:rsidRDefault="000E1B20" w:rsidP="009075CC">
      <w:pPr>
        <w:pStyle w:val="Akapitzlist"/>
        <w:numPr>
          <w:ilvl w:val="1"/>
          <w:numId w:val="16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BF18D9" w:rsidRDefault="000E1B20" w:rsidP="00783C53">
      <w:pPr>
        <w:numPr>
          <w:ilvl w:val="0"/>
          <w:numId w:val="1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BF18D9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EC619A" w:rsidRPr="009667AC" w:rsidRDefault="000E1B20" w:rsidP="00783C53">
      <w:pPr>
        <w:numPr>
          <w:ilvl w:val="0"/>
          <w:numId w:val="1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9075CC">
      <w:pPr>
        <w:pStyle w:val="Akapitzlist"/>
        <w:numPr>
          <w:ilvl w:val="1"/>
          <w:numId w:val="16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9075CC">
      <w:pPr>
        <w:pStyle w:val="Akapitzlist"/>
        <w:numPr>
          <w:ilvl w:val="3"/>
          <w:numId w:val="17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9075CC">
      <w:pPr>
        <w:pStyle w:val="Akapitzlist"/>
        <w:numPr>
          <w:ilvl w:val="0"/>
          <w:numId w:val="1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</w:t>
      </w:r>
      <w:r w:rsidRPr="00EC619A">
        <w:rPr>
          <w:rFonts w:ascii="Calibri" w:hAnsi="Calibri" w:cs="Calibri"/>
        </w:rPr>
        <w:lastRenderedPageBreak/>
        <w:t xml:space="preserve">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9075CC">
      <w:pPr>
        <w:pStyle w:val="Akapitzlist"/>
        <w:numPr>
          <w:ilvl w:val="0"/>
          <w:numId w:val="1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9075CC">
      <w:pPr>
        <w:pStyle w:val="Akapitzlist"/>
        <w:numPr>
          <w:ilvl w:val="0"/>
          <w:numId w:val="1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9075CC">
      <w:pPr>
        <w:pStyle w:val="Akapitzlist"/>
        <w:numPr>
          <w:ilvl w:val="0"/>
          <w:numId w:val="15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5F5176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Wykonawca zobowiązany jest z</w:t>
      </w:r>
      <w:r w:rsidR="0059678F">
        <w:rPr>
          <w:rFonts w:ascii="Calibri" w:hAnsi="Calibri" w:cs="Calibri"/>
        </w:rPr>
        <w:t>realizowa</w:t>
      </w:r>
      <w:r w:rsidR="00E817A0">
        <w:rPr>
          <w:rFonts w:ascii="Calibri" w:hAnsi="Calibri" w:cs="Calibri"/>
        </w:rPr>
        <w:t>ć przedmiot za</w:t>
      </w:r>
      <w:r w:rsidR="002E6300">
        <w:rPr>
          <w:rFonts w:ascii="Calibri" w:hAnsi="Calibri" w:cs="Calibri"/>
        </w:rPr>
        <w:t xml:space="preserve">mówienia: od 01.01.2023 r. </w:t>
      </w:r>
      <w:r w:rsidR="002E6300">
        <w:rPr>
          <w:rFonts w:ascii="Calibri" w:hAnsi="Calibri" w:cs="Calibri"/>
        </w:rPr>
        <w:br/>
        <w:t>do 31.12.2023</w:t>
      </w:r>
      <w:r w:rsidR="0059678F">
        <w:rPr>
          <w:rFonts w:ascii="Calibri" w:hAnsi="Calibri" w:cs="Calibri"/>
        </w:rPr>
        <w:t xml:space="preserve"> r. </w:t>
      </w:r>
    </w:p>
    <w:p w:rsidR="00D50453" w:rsidRPr="007074C9" w:rsidRDefault="00D50453" w:rsidP="009075CC">
      <w:pPr>
        <w:pStyle w:val="Akapitzlist"/>
        <w:numPr>
          <w:ilvl w:val="0"/>
          <w:numId w:val="15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9075CC">
      <w:pPr>
        <w:pStyle w:val="Akapitzlist"/>
        <w:numPr>
          <w:ilvl w:val="2"/>
          <w:numId w:val="1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9075CC">
      <w:pPr>
        <w:pStyle w:val="Akapitzlist"/>
        <w:numPr>
          <w:ilvl w:val="2"/>
          <w:numId w:val="1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9075CC">
      <w:pPr>
        <w:pStyle w:val="Akapitzlist"/>
        <w:numPr>
          <w:ilvl w:val="2"/>
          <w:numId w:val="18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9075CC">
      <w:pPr>
        <w:pStyle w:val="Akapitzlist"/>
        <w:numPr>
          <w:ilvl w:val="2"/>
          <w:numId w:val="1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59678F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  <w:r w:rsidR="0059678F"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6119B7" w:rsidRPr="00216644" w:rsidRDefault="006119B7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9075CC">
      <w:pPr>
        <w:pStyle w:val="Akapitzlist"/>
        <w:numPr>
          <w:ilvl w:val="0"/>
          <w:numId w:val="15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1701AB" w:rsidRPr="006119B7" w:rsidRDefault="001701AB" w:rsidP="009075CC">
      <w:pPr>
        <w:pStyle w:val="Akapitzlist"/>
        <w:numPr>
          <w:ilvl w:val="1"/>
          <w:numId w:val="19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1701AB" w:rsidRPr="00811C09" w:rsidRDefault="001701AB" w:rsidP="001701AB">
      <w:pPr>
        <w:spacing w:after="72" w:line="259" w:lineRule="auto"/>
        <w:ind w:left="1277" w:hanging="56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left="993" w:hanging="284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</w:t>
      </w:r>
    </w:p>
    <w:p w:rsidR="001701AB" w:rsidRPr="00811C09" w:rsidRDefault="001701AB" w:rsidP="001701AB">
      <w:pPr>
        <w:spacing w:after="72" w:line="259" w:lineRule="auto"/>
        <w:ind w:left="993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Kodeksu karnego,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left="993" w:hanging="284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handlu ludźmi, o którym mowa w art. 189a Kodeksu karnego, 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 xml:space="preserve">o którym mowa w art. 228–230a, art. 250a Kodeksu karnego lub w art. 46 lub art. 48 ustawy z dnia 25 czerwca 2010 r. o sporcie, 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pracy małoletnich cudzoziemców </w:t>
      </w:r>
      <w:r w:rsidRPr="00811C09">
        <w:rPr>
          <w:rFonts w:ascii="Calibri" w:hAnsi="Calibri" w:cs="Calibri"/>
          <w:b/>
        </w:rPr>
        <w:t xml:space="preserve">powierzenia wykonywania pracy małoletniemu cudzoziemcowi, </w:t>
      </w:r>
      <w:r w:rsidRPr="00811C09">
        <w:rPr>
          <w:rFonts w:ascii="Calibri" w:hAnsi="Calibri" w:cs="Calibri"/>
        </w:rPr>
        <w:t xml:space="preserve">o którym mowa w art. 9 ust. 2 ustawy z dnia 15 czerwca 2012 r. o skutkach powierzania wykonywania pracy cudzoziemcom przebywającym wbrew przepisom na terytorium Rzeczypospolitej Polskiej (Dz. U. poz. 769), 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>przeciwko obrotowi gospodarczemu, o których mowa w art. 296–307 Kodeksu karnego, przestępstwo oszustwa, o którym mowa w art. 286 Kodeksu karnego, przestępstwo przeciwko wiarygodności dokumentów, o których mowa w art. 270–</w:t>
      </w:r>
    </w:p>
    <w:p w:rsidR="001701AB" w:rsidRPr="00811C09" w:rsidRDefault="001701AB" w:rsidP="001701AB">
      <w:pPr>
        <w:spacing w:after="72" w:line="259" w:lineRule="auto"/>
        <w:ind w:left="1056" w:hanging="63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277d Kodeksu karnego, lub przestępstwo skarbowe, </w:t>
      </w:r>
    </w:p>
    <w:p w:rsidR="001701AB" w:rsidRPr="00811C09" w:rsidRDefault="001701AB" w:rsidP="009075CC">
      <w:pPr>
        <w:numPr>
          <w:ilvl w:val="0"/>
          <w:numId w:val="35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 </w:t>
      </w:r>
    </w:p>
    <w:p w:rsidR="001701AB" w:rsidRPr="00811C09" w:rsidRDefault="001701AB" w:rsidP="001701AB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1701AB" w:rsidRPr="00811C09" w:rsidRDefault="001701AB" w:rsidP="001701AB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wobec którego </w:t>
      </w:r>
      <w:r w:rsidRPr="00811C09">
        <w:rPr>
          <w:rFonts w:ascii="Calibri" w:hAnsi="Calibri" w:cs="Calibri"/>
          <w:b/>
        </w:rPr>
        <w:t xml:space="preserve">prawomocnie </w:t>
      </w:r>
      <w:r w:rsidRPr="00811C09">
        <w:rPr>
          <w:rFonts w:ascii="Calibri" w:hAnsi="Calibri" w:cs="Calibri"/>
        </w:rPr>
        <w:t xml:space="preserve">orzeczono zakaz ubiegania się o zamówienia </w:t>
      </w:r>
    </w:p>
    <w:p w:rsidR="001701AB" w:rsidRPr="00811C09" w:rsidRDefault="001701AB" w:rsidP="001701AB">
      <w:pPr>
        <w:spacing w:after="72" w:line="259" w:lineRule="auto"/>
        <w:ind w:left="1277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publiczne; 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8.1.5. 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jeżeli w przypadkach, o których mowa w art. 85 ust. 1, doszło do zakłócenia konkurencji wynikającego z wcześniejszego zaangażowania tego wykonawcy lub </w:t>
      </w:r>
      <w:r w:rsidRPr="00811C09">
        <w:rPr>
          <w:rFonts w:ascii="Calibri" w:hAnsi="Calibri" w:cs="Calibri"/>
        </w:rPr>
        <w:lastRenderedPageBreak/>
        <w:t xml:space="preserve">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8.2.</w:t>
      </w:r>
      <w:r w:rsidRPr="00811C09">
        <w:rPr>
          <w:rFonts w:ascii="Calibri" w:hAnsi="Calibri" w:cs="Calibri"/>
          <w:b/>
        </w:rPr>
        <w:t xml:space="preserve"> </w:t>
      </w:r>
      <w:r w:rsidRPr="00811C09">
        <w:rPr>
          <w:rFonts w:ascii="Calibri" w:hAnsi="Calibri" w:cs="Calibri"/>
        </w:rPr>
        <w:t xml:space="preserve"> 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8.3. Zamawiający może wykluczyć Wykonawcę na każdym etapie postępowania o udzielenie zamówienia (art. 110 ust. 1 ustawy Pzp).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1701AB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8.4. Wykonawca nie podlega wykluczeniu w okolicznościach określonych w art. 108 ust. 1 pkt 1, 2,  i 5, jeżeli udowodni Zamawiającemu, że spełnił łącznie następujące przesłanki: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C03C76">
      <w:pPr>
        <w:numPr>
          <w:ilvl w:val="0"/>
          <w:numId w:val="36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C03C76">
      <w:pPr>
        <w:numPr>
          <w:ilvl w:val="0"/>
          <w:numId w:val="36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C03C76">
      <w:pPr>
        <w:numPr>
          <w:ilvl w:val="0"/>
          <w:numId w:val="36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3"/>
          <w:numId w:val="37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3"/>
          <w:numId w:val="37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3"/>
          <w:numId w:val="37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3"/>
          <w:numId w:val="37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3"/>
          <w:numId w:val="37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1701AB" w:rsidRPr="00811C09" w:rsidRDefault="001701AB" w:rsidP="009075CC">
      <w:pPr>
        <w:numPr>
          <w:ilvl w:val="1"/>
          <w:numId w:val="39"/>
        </w:numPr>
        <w:spacing w:after="72" w:line="259" w:lineRule="auto"/>
        <w:ind w:hanging="562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Zamawiający ocenia, czy podjęte przez wykonawcę czynności, o których mowa w pkt. 8.4.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1701AB" w:rsidRPr="00811C09" w:rsidRDefault="001701AB" w:rsidP="009075CC">
      <w:pPr>
        <w:numPr>
          <w:ilvl w:val="1"/>
          <w:numId w:val="39"/>
        </w:numPr>
        <w:spacing w:after="72" w:line="259" w:lineRule="auto"/>
        <w:ind w:hanging="562"/>
        <w:rPr>
          <w:rFonts w:ascii="Calibri" w:hAnsi="Calibri" w:cs="Calibri"/>
        </w:rPr>
      </w:pPr>
      <w:r w:rsidRPr="00811C09">
        <w:rPr>
          <w:rFonts w:ascii="Calibri" w:hAnsi="Calibri" w:cs="Calibri"/>
          <w:b/>
        </w:rPr>
        <w:t xml:space="preserve">Z postępowania o udzielenie zamówienia wyklucza się wykonawcę na podstawie art. 7 ust 1 ustawy z dnia 13 kwietnia 2022 r. o szczególnych rozwiązaniach w zakresie przeciwdziałania wspieraniu agresji na Ukrainę oraz służących ochronie bezpieczeństwa narodowego (Dz. U. z 2022 r., poz. 835). </w:t>
      </w:r>
    </w:p>
    <w:p w:rsidR="001701AB" w:rsidRPr="00811C09" w:rsidRDefault="001701AB" w:rsidP="001701AB">
      <w:pPr>
        <w:spacing w:after="72" w:line="259" w:lineRule="auto"/>
        <w:ind w:left="1277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 xml:space="preserve">Zgodnie z treścią ww. przepisu, z postępowania o udzielenie zamówienia publicznego lub konkursu prowadzonego na podstawie ustawy Pzp wyklucza się: </w:t>
      </w:r>
    </w:p>
    <w:p w:rsidR="001701AB" w:rsidRPr="00811C09" w:rsidRDefault="001701AB" w:rsidP="009075CC">
      <w:pPr>
        <w:numPr>
          <w:ilvl w:val="2"/>
          <w:numId w:val="38"/>
        </w:numPr>
        <w:spacing w:after="72" w:line="259" w:lineRule="auto"/>
        <w:ind w:left="1701" w:hanging="42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wykonawcę oraz uczestnika konkursu wymienionego w wykazach określonych w rozporządzeniu 765/2006 i rozporządzeniu 269/2014 albo wpisanego na listę na podstawie decyzji w sprawie wpisu na listę rozstrzygającej  o zastosowaniu środka, o którym mowa w art. 1 pkt 3 ustawy; </w:t>
      </w:r>
    </w:p>
    <w:p w:rsidR="001701AB" w:rsidRPr="00811C09" w:rsidRDefault="001701AB" w:rsidP="009075CC">
      <w:pPr>
        <w:numPr>
          <w:ilvl w:val="2"/>
          <w:numId w:val="38"/>
        </w:numPr>
        <w:spacing w:after="72" w:line="259" w:lineRule="auto"/>
        <w:ind w:left="1701" w:hanging="42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wykonawcę oraz uczestnika konkursu, którego beneficjentem rzeczywistym  w rozumieniu ustawy z dnia 1 marca 2018 r. o przeciwdziałaniu praniu pieniędzy oraz finansowaniu terroryzmu (Dz. U. z 2022 r. poz. 593 i 655) jest osoba wymieniona w wykazach określonych w rozporządzeniu 765/2006  i rozporządzeniu 269/2014 albo wpisana na listę lub będąca takim beneficjentem rzeczywistym od dnia 24 lutego 2022 r., o ile została wpisana na listę na podstawie decyzji w sprawie wpisu na listę rozstrzygającej  o zastosowaniu środka, o którym mowa w art. 1 pkt 3 ustawy; </w:t>
      </w:r>
    </w:p>
    <w:p w:rsidR="001701AB" w:rsidRPr="00811C09" w:rsidRDefault="001701AB" w:rsidP="001701AB">
      <w:pPr>
        <w:spacing w:after="72" w:line="259" w:lineRule="auto"/>
        <w:ind w:left="1701" w:hanging="42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3) </w:t>
      </w:r>
      <w:r>
        <w:rPr>
          <w:rFonts w:ascii="Calibri" w:hAnsi="Calibri" w:cs="Calibri"/>
        </w:rPr>
        <w:t xml:space="preserve">   </w:t>
      </w:r>
      <w:r w:rsidRPr="00811C09">
        <w:rPr>
          <w:rFonts w:ascii="Calibri" w:hAnsi="Calibri" w:cs="Calibri"/>
        </w:rPr>
        <w:t xml:space="preserve">wykonawcę oraz uczestnika konkursu, którego jednostką dominującą  w rozumieniu art. 3 ust. 1 pkt 37 ustawy z dnia 29 września 1994 r.  o rachunkowości (Dz. U. z 2021 r. poz. 217, 2105 i 2106), jest podmiot wymieniony w wykazach określonych w rozporządzeniu 765/2006 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:rsidR="00D50453" w:rsidRPr="00216644" w:rsidRDefault="00D50453" w:rsidP="001701AB">
      <w:pPr>
        <w:spacing w:after="72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66734" w:rsidRDefault="00D50453" w:rsidP="009075CC">
      <w:pPr>
        <w:numPr>
          <w:ilvl w:val="0"/>
          <w:numId w:val="15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9075CC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 w:rsidR="006924E1"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D50453" w:rsidRPr="00216644" w:rsidRDefault="00D50453" w:rsidP="009075CC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 w:rsidR="00D04651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D50453" w:rsidRPr="00216644" w:rsidRDefault="00D50453" w:rsidP="009075CC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0F22B1" w:rsidRDefault="000F22B1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</w:p>
    <w:p w:rsidR="00D50453" w:rsidRPr="00D66734" w:rsidRDefault="00D50453" w:rsidP="009075CC">
      <w:pPr>
        <w:pStyle w:val="Akapitzlist"/>
        <w:numPr>
          <w:ilvl w:val="0"/>
          <w:numId w:val="2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9075CC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9075CC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lastRenderedPageBreak/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9075CC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9075CC">
      <w:pPr>
        <w:pStyle w:val="Akapitzlist"/>
        <w:numPr>
          <w:ilvl w:val="1"/>
          <w:numId w:val="2"/>
        </w:numPr>
        <w:ind w:left="851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D50453" w:rsidRDefault="00DC798F" w:rsidP="009075CC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9075CC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9075CC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9075CC">
      <w:pPr>
        <w:pStyle w:val="Akapitzlist"/>
        <w:numPr>
          <w:ilvl w:val="1"/>
          <w:numId w:val="2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9075CC">
      <w:pPr>
        <w:pStyle w:val="Akapitzlist"/>
        <w:numPr>
          <w:ilvl w:val="1"/>
          <w:numId w:val="2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9075CC">
      <w:pPr>
        <w:pStyle w:val="Akapitzlist"/>
        <w:numPr>
          <w:ilvl w:val="0"/>
          <w:numId w:val="20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9075CC">
      <w:pPr>
        <w:pStyle w:val="Akapitzlist"/>
        <w:numPr>
          <w:ilvl w:val="0"/>
          <w:numId w:val="20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163204" w:rsidP="00997A60">
      <w:pPr>
        <w:spacing w:after="135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D50453" w:rsidP="00997A60">
      <w:pPr>
        <w:spacing w:after="127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lastRenderedPageBreak/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D50453" w:rsidP="00997A60">
      <w:pPr>
        <w:spacing w:after="12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Na wezwanie Zamawiającego Wykonawca, który polega na zdolnościach lub sytuacji innych podmiotów udostępniających zasoby na zasadach określonych w art. 118 ustawy Pzp, zobowiązany jest do przedstawienia w odniesieniu do tych podmiotów podmiotowych środków dowodowych, o których mowa w pkt. 9.7.  potwierdzających, że nie zachodzą wobec tych podmiotów podstawy do wykluczenia z postępowania. </w:t>
      </w:r>
    </w:p>
    <w:p w:rsidR="00D50453" w:rsidRPr="00DC798F" w:rsidRDefault="00D50453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D50453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10.12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D50453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10.13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9075CC">
      <w:pPr>
        <w:pStyle w:val="Akapitzlist"/>
        <w:numPr>
          <w:ilvl w:val="0"/>
          <w:numId w:val="4"/>
        </w:numPr>
        <w:spacing w:after="127" w:line="271" w:lineRule="auto"/>
        <w:ind w:left="709" w:right="43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9075CC">
      <w:pPr>
        <w:numPr>
          <w:ilvl w:val="1"/>
          <w:numId w:val="4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 xml:space="preserve">e zamówienia. W takim przypadku Wykonawcy ustanawiają pełnomocnika do reprezentowania ich w postępowaniu </w:t>
      </w:r>
      <w:r w:rsidR="00D04651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 xml:space="preserve">o udzielenie zamówienia albo reprezentowania w postępowaniu i zawarcia umowy </w:t>
      </w:r>
      <w:r w:rsidR="00D04651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>w sprawie zamówienia publicznego.</w:t>
      </w:r>
    </w:p>
    <w:p w:rsidR="00D50453" w:rsidRPr="00163204" w:rsidRDefault="00D50453" w:rsidP="009075CC">
      <w:pPr>
        <w:numPr>
          <w:ilvl w:val="1"/>
          <w:numId w:val="4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</w:t>
      </w:r>
      <w:r w:rsidR="006924E1">
        <w:rPr>
          <w:rFonts w:ascii="Calibri" w:hAnsi="Calibri" w:cs="Calibri"/>
        </w:rPr>
        <w:t>wie art. 108 ust. 1 ustawy Pzp.</w:t>
      </w:r>
    </w:p>
    <w:p w:rsidR="00D50453" w:rsidRPr="00163204" w:rsidRDefault="00D50453" w:rsidP="009075CC">
      <w:pPr>
        <w:numPr>
          <w:ilvl w:val="1"/>
          <w:numId w:val="4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A542AD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</w:p>
    <w:p w:rsidR="00DE40DC" w:rsidRPr="00163204" w:rsidRDefault="00E57031" w:rsidP="009075CC">
      <w:pPr>
        <w:pStyle w:val="Akapitzlist"/>
        <w:numPr>
          <w:ilvl w:val="0"/>
          <w:numId w:val="4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  <w:color w:val="000000" w:themeColor="text1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383347" w:rsidRPr="00216644" w:rsidRDefault="00383347" w:rsidP="00D94595">
      <w:pPr>
        <w:spacing w:after="133" w:line="271" w:lineRule="auto"/>
        <w:ind w:left="567" w:right="48" w:firstLine="0"/>
        <w:rPr>
          <w:rFonts w:ascii="Calibri" w:hAnsi="Calibri" w:cs="Calibri"/>
        </w:rPr>
      </w:pPr>
    </w:p>
    <w:p w:rsidR="00E57031" w:rsidRPr="00163204" w:rsidRDefault="00E57031" w:rsidP="009075CC">
      <w:pPr>
        <w:numPr>
          <w:ilvl w:val="0"/>
          <w:numId w:val="4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lastRenderedPageBreak/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9075CC">
      <w:pPr>
        <w:pStyle w:val="Akapitzlist"/>
        <w:numPr>
          <w:ilvl w:val="1"/>
          <w:numId w:val="21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9075CC">
      <w:pPr>
        <w:pStyle w:val="Akapitzlist"/>
        <w:numPr>
          <w:ilvl w:val="1"/>
          <w:numId w:val="21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383347">
        <w:rPr>
          <w:rFonts w:ascii="Calibri" w:hAnsi="Calibri" w:cs="Calibri"/>
        </w:rPr>
        <w:t xml:space="preserve"> referencyjny postępowania tj. 8</w:t>
      </w:r>
      <w:r w:rsidR="00941A6F">
        <w:rPr>
          <w:rFonts w:ascii="Calibri" w:hAnsi="Calibri" w:cs="Calibri"/>
        </w:rPr>
        <w:t>/2022</w:t>
      </w:r>
      <w:r w:rsidRPr="00FB3186">
        <w:rPr>
          <w:rFonts w:ascii="Calibri" w:hAnsi="Calibri" w:cs="Calibri"/>
        </w:rPr>
        <w:t xml:space="preserve">. </w:t>
      </w:r>
    </w:p>
    <w:p w:rsidR="00FB3186" w:rsidRDefault="00B81C0F" w:rsidP="009075CC">
      <w:pPr>
        <w:pStyle w:val="Akapitzlist"/>
        <w:numPr>
          <w:ilvl w:val="2"/>
          <w:numId w:val="21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9075CC">
      <w:pPr>
        <w:pStyle w:val="Akapitzlist"/>
        <w:numPr>
          <w:ilvl w:val="2"/>
          <w:numId w:val="21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4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lastRenderedPageBreak/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2B4E93" w:rsidRDefault="002A0D46" w:rsidP="009075CC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2B4E93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59678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Benedykt Bogucki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5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865F03" w:rsidRPr="00865F03" w:rsidRDefault="0054793F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Wykonawca może złożyć </w:t>
      </w:r>
      <w:r w:rsidR="0059678F">
        <w:rPr>
          <w:rFonts w:ascii="Calibri" w:hAnsi="Calibri" w:cs="Calibri"/>
        </w:rPr>
        <w:t>jedną ofertę.</w:t>
      </w:r>
      <w:r w:rsidR="00865F03" w:rsidRPr="00865F03">
        <w:rPr>
          <w:rFonts w:ascii="Calibri" w:hAnsi="Calibri" w:cs="Calibri"/>
        </w:rPr>
        <w:t xml:space="preserve"> </w:t>
      </w:r>
    </w:p>
    <w:p w:rsidR="00865F03" w:rsidRPr="00865F03" w:rsidRDefault="00865F03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6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7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9075CC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lastRenderedPageBreak/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9075CC">
      <w:pPr>
        <w:pStyle w:val="Akapitzlist"/>
        <w:numPr>
          <w:ilvl w:val="0"/>
          <w:numId w:val="6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9075CC">
      <w:pPr>
        <w:pStyle w:val="Akapitzlist"/>
        <w:numPr>
          <w:ilvl w:val="0"/>
          <w:numId w:val="6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9075CC">
      <w:pPr>
        <w:pStyle w:val="Akapitzlist"/>
        <w:numPr>
          <w:ilvl w:val="1"/>
          <w:numId w:val="22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9075CC">
      <w:pPr>
        <w:pStyle w:val="Akapitzlist"/>
        <w:numPr>
          <w:ilvl w:val="0"/>
          <w:numId w:val="7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9075CC">
      <w:pPr>
        <w:pStyle w:val="Akapitzlist"/>
        <w:numPr>
          <w:ilvl w:val="0"/>
          <w:numId w:val="7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9075CC">
      <w:pPr>
        <w:pStyle w:val="Akapitzlist"/>
        <w:numPr>
          <w:ilvl w:val="1"/>
          <w:numId w:val="22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9075CC">
      <w:pPr>
        <w:pStyle w:val="Akapitzlist"/>
        <w:numPr>
          <w:ilvl w:val="0"/>
          <w:numId w:val="8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9075CC">
      <w:pPr>
        <w:pStyle w:val="Akapitzlist"/>
        <w:numPr>
          <w:ilvl w:val="0"/>
          <w:numId w:val="8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ppkt. 2 powyżej, dokonuje notariusz lub: </w:t>
      </w:r>
    </w:p>
    <w:p w:rsidR="00865F03" w:rsidRPr="00216644" w:rsidRDefault="00865F03" w:rsidP="009075CC">
      <w:pPr>
        <w:pStyle w:val="Akapitzlist"/>
        <w:numPr>
          <w:ilvl w:val="0"/>
          <w:numId w:val="9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9075CC">
      <w:pPr>
        <w:pStyle w:val="Akapitzlist"/>
        <w:numPr>
          <w:ilvl w:val="0"/>
          <w:numId w:val="9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9075CC">
      <w:pPr>
        <w:pStyle w:val="Akapitzlist"/>
        <w:numPr>
          <w:ilvl w:val="0"/>
          <w:numId w:val="9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lastRenderedPageBreak/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Default="00865F03" w:rsidP="009075CC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2D53C4" w:rsidRPr="002D53C4" w:rsidRDefault="002D53C4" w:rsidP="009075CC">
      <w:pPr>
        <w:pStyle w:val="Akapitzlist"/>
        <w:numPr>
          <w:ilvl w:val="0"/>
          <w:numId w:val="10"/>
        </w:numPr>
        <w:ind w:left="1276" w:hanging="425"/>
        <w:rPr>
          <w:rFonts w:ascii="Calibri" w:hAnsi="Calibri" w:cs="Calibri"/>
        </w:rPr>
      </w:pPr>
      <w:r w:rsidRPr="002D53C4">
        <w:rPr>
          <w:rFonts w:ascii="Calibri" w:hAnsi="Calibri" w:cs="Calibri"/>
        </w:rPr>
        <w:t xml:space="preserve"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umożliwiające dostęp do tych dokumentów. </w:t>
      </w:r>
    </w:p>
    <w:p w:rsidR="00865F03" w:rsidRPr="00B703AF" w:rsidRDefault="00865F03" w:rsidP="009075CC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 w:rsidRPr="00B703AF">
        <w:rPr>
          <w:rFonts w:ascii="Calibri" w:hAnsi="Calibri" w:cs="Calibri"/>
        </w:rPr>
        <w:t xml:space="preserve">Pełnomocnik </w:t>
      </w:r>
      <w:r w:rsidRPr="00B703AF">
        <w:rPr>
          <w:rFonts w:ascii="Calibri" w:hAnsi="Calibri" w:cs="Calibri"/>
        </w:rPr>
        <w:tab/>
        <w:t xml:space="preserve">może </w:t>
      </w:r>
      <w:r w:rsidRPr="00B703AF">
        <w:rPr>
          <w:rFonts w:ascii="Calibri" w:hAnsi="Calibri" w:cs="Calibri"/>
        </w:rPr>
        <w:tab/>
        <w:t xml:space="preserve">być </w:t>
      </w:r>
      <w:r w:rsidRPr="00B703AF">
        <w:rPr>
          <w:rFonts w:ascii="Calibri" w:hAnsi="Calibri" w:cs="Calibri"/>
        </w:rPr>
        <w:tab/>
        <w:t>us</w:t>
      </w:r>
      <w:r w:rsidR="00B703AF">
        <w:rPr>
          <w:rFonts w:ascii="Calibri" w:hAnsi="Calibri" w:cs="Calibri"/>
        </w:rPr>
        <w:t xml:space="preserve">tanowiony </w:t>
      </w:r>
      <w:r w:rsidR="00B703AF">
        <w:rPr>
          <w:rFonts w:ascii="Calibri" w:hAnsi="Calibri" w:cs="Calibri"/>
        </w:rPr>
        <w:tab/>
        <w:t xml:space="preserve">do </w:t>
      </w:r>
      <w:r w:rsidR="00B703AF">
        <w:rPr>
          <w:rFonts w:ascii="Calibri" w:hAnsi="Calibri" w:cs="Calibri"/>
        </w:rPr>
        <w:tab/>
        <w:t xml:space="preserve">reprezentowania </w:t>
      </w:r>
      <w:r w:rsidR="00255FA9" w:rsidRPr="00B703AF">
        <w:rPr>
          <w:rFonts w:ascii="Calibri" w:hAnsi="Calibri" w:cs="Calibri"/>
        </w:rPr>
        <w:t xml:space="preserve">Wykonawców </w:t>
      </w:r>
      <w:r w:rsidRPr="00B703AF">
        <w:rPr>
          <w:rFonts w:ascii="Calibri" w:hAnsi="Calibri" w:cs="Calibri"/>
        </w:rPr>
        <w:t xml:space="preserve">w postępowaniu lub do reprezentowania w postępowaniu i zawarcia umowy; </w:t>
      </w:r>
    </w:p>
    <w:p w:rsidR="00865F03" w:rsidRPr="00216644" w:rsidRDefault="00865F03" w:rsidP="009075CC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="002D53C4">
        <w:rPr>
          <w:rFonts w:ascii="Calibri" w:hAnsi="Calibri" w:cs="Calibri"/>
        </w:rPr>
        <w:t xml:space="preserve"> ust. 3</w:t>
      </w:r>
      <w:r w:rsidRPr="00216644">
        <w:rPr>
          <w:rFonts w:ascii="Calibri" w:hAnsi="Calibri" w:cs="Calibri"/>
        </w:rPr>
        <w:t xml:space="preserve">; </w:t>
      </w:r>
    </w:p>
    <w:p w:rsidR="00865F03" w:rsidRPr="00B703AF" w:rsidRDefault="00865F03" w:rsidP="009075CC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  <w:r w:rsidRPr="00B703AF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B703AF">
        <w:rPr>
          <w:rFonts w:ascii="Calibri" w:hAnsi="Calibri" w:cs="Calibri"/>
          <w:color w:val="000000" w:themeColor="text1"/>
        </w:rPr>
        <w:t xml:space="preserve">pkt. </w:t>
      </w:r>
      <w:r w:rsidR="00244E36" w:rsidRPr="00B703AF">
        <w:rPr>
          <w:rFonts w:ascii="Calibri" w:hAnsi="Calibri" w:cs="Calibri"/>
          <w:color w:val="000000" w:themeColor="text1"/>
        </w:rPr>
        <w:t>15.</w:t>
      </w:r>
      <w:r w:rsidR="002D53C4" w:rsidRPr="00B703AF">
        <w:rPr>
          <w:rFonts w:ascii="Calibri" w:hAnsi="Calibri" w:cs="Calibri"/>
          <w:color w:val="000000" w:themeColor="text1"/>
        </w:rPr>
        <w:t>16 ust. 3</w:t>
      </w:r>
      <w:r w:rsidRPr="00B703AF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9075CC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Default="00865F03" w:rsidP="009075CC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A7265" w:rsidRPr="00B15D46" w:rsidRDefault="008A7265" w:rsidP="00B15D46">
      <w:pPr>
        <w:ind w:left="0" w:right="50" w:firstLine="0"/>
        <w:rPr>
          <w:rFonts w:ascii="Calibri" w:hAnsi="Calibri" w:cs="Calibri"/>
        </w:rPr>
      </w:pP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865F03" w:rsidRPr="00CC6452" w:rsidRDefault="00CC6452" w:rsidP="00BE6438">
      <w:pPr>
        <w:spacing w:after="148" w:line="247" w:lineRule="auto"/>
        <w:ind w:left="567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</w:t>
      </w:r>
      <w:r w:rsidR="00865F03" w:rsidRPr="00CC6452">
        <w:rPr>
          <w:rFonts w:ascii="Calibri" w:hAnsi="Calibri" w:cs="Calibri"/>
        </w:rPr>
        <w:lastRenderedPageBreak/>
        <w:t xml:space="preserve">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8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9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BE6438">
      <w:pPr>
        <w:spacing w:after="148" w:line="247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C03C76">
        <w:rPr>
          <w:rFonts w:ascii="Calibri" w:hAnsi="Calibri" w:cs="Calibri"/>
          <w:b/>
        </w:rPr>
        <w:t>27</w:t>
      </w:r>
      <w:r w:rsidR="003F0066">
        <w:rPr>
          <w:rFonts w:ascii="Calibri" w:hAnsi="Calibri" w:cs="Calibri"/>
          <w:b/>
        </w:rPr>
        <w:t xml:space="preserve"> październik</w:t>
      </w:r>
      <w:r w:rsidR="00941A6F">
        <w:rPr>
          <w:rFonts w:ascii="Calibri" w:hAnsi="Calibri" w:cs="Calibri"/>
          <w:b/>
        </w:rPr>
        <w:t xml:space="preserve"> 2022</w:t>
      </w:r>
      <w:r w:rsidR="0074103C">
        <w:rPr>
          <w:rFonts w:ascii="Calibri" w:hAnsi="Calibri" w:cs="Calibri"/>
          <w:b/>
        </w:rPr>
        <w:t xml:space="preserve">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BE6438">
      <w:pPr>
        <w:spacing w:after="148" w:line="247" w:lineRule="auto"/>
        <w:ind w:hanging="131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BE6438">
      <w:pPr>
        <w:spacing w:after="148"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54793F" w:rsidRDefault="0014088F" w:rsidP="00AB3196">
      <w:pPr>
        <w:spacing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AB3196" w:rsidRPr="00AB3196" w:rsidRDefault="00AB3196" w:rsidP="00AB3196">
      <w:pPr>
        <w:spacing w:line="247" w:lineRule="auto"/>
        <w:ind w:left="567" w:right="55" w:hanging="567"/>
        <w:rPr>
          <w:rFonts w:ascii="Calibri" w:hAnsi="Calibri" w:cs="Calibri"/>
        </w:rPr>
      </w:pPr>
    </w:p>
    <w:p w:rsidR="00865F03" w:rsidRPr="0014088F" w:rsidRDefault="00865F03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C03C76">
        <w:rPr>
          <w:rFonts w:ascii="Calibri" w:hAnsi="Calibri" w:cs="Calibri"/>
          <w:b/>
        </w:rPr>
        <w:t>27</w:t>
      </w:r>
      <w:r w:rsidR="003F0066">
        <w:rPr>
          <w:rFonts w:ascii="Calibri" w:hAnsi="Calibri" w:cs="Calibri"/>
          <w:b/>
        </w:rPr>
        <w:t xml:space="preserve"> październik</w:t>
      </w:r>
      <w:r w:rsidR="00255FA9">
        <w:rPr>
          <w:rFonts w:ascii="Calibri" w:hAnsi="Calibri" w:cs="Calibri"/>
          <w:b/>
        </w:rPr>
        <w:t xml:space="preserve"> 2022 </w:t>
      </w:r>
      <w:r w:rsidR="0074103C">
        <w:rPr>
          <w:rFonts w:ascii="Calibri" w:hAnsi="Calibri" w:cs="Calibri"/>
          <w:b/>
        </w:rPr>
        <w:t>roku,</w:t>
      </w:r>
      <w:r w:rsidR="004768F6">
        <w:rPr>
          <w:rFonts w:ascii="Calibri" w:hAnsi="Calibri" w:cs="Calibri"/>
          <w:b/>
        </w:rPr>
        <w:t xml:space="preserve">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9075CC">
      <w:pPr>
        <w:numPr>
          <w:ilvl w:val="3"/>
          <w:numId w:val="11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9075CC">
      <w:pPr>
        <w:numPr>
          <w:ilvl w:val="3"/>
          <w:numId w:val="11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AB3196">
      <w:pPr>
        <w:spacing w:after="148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7704D2" w:rsidRDefault="0014088F" w:rsidP="00D94595">
      <w:pPr>
        <w:spacing w:after="110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</w:t>
      </w:r>
      <w:r w:rsidR="00101333">
        <w:rPr>
          <w:rFonts w:ascii="Calibri" w:hAnsi="Calibri" w:cs="Calibri"/>
        </w:rPr>
        <w:t xml:space="preserve"> internetowej prowadzonego postę</w:t>
      </w:r>
      <w:r w:rsidR="00865F03" w:rsidRPr="00216644">
        <w:rPr>
          <w:rFonts w:ascii="Calibri" w:hAnsi="Calibri" w:cs="Calibri"/>
        </w:rPr>
        <w:t>powania.</w:t>
      </w:r>
    </w:p>
    <w:p w:rsidR="00D94595" w:rsidRPr="00D94595" w:rsidRDefault="00D94595" w:rsidP="00D94595">
      <w:pPr>
        <w:spacing w:after="110" w:line="240" w:lineRule="auto"/>
        <w:ind w:left="567" w:hanging="567"/>
        <w:rPr>
          <w:rFonts w:ascii="Calibri" w:hAnsi="Calibri" w:cs="Calibri"/>
        </w:rPr>
      </w:pPr>
    </w:p>
    <w:p w:rsidR="00865F03" w:rsidRPr="0014088F" w:rsidRDefault="00865F03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Default="007704D2" w:rsidP="009075CC">
      <w:pPr>
        <w:pStyle w:val="Akapitzlist"/>
        <w:keepNext/>
        <w:numPr>
          <w:ilvl w:val="1"/>
          <w:numId w:val="29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</w:t>
      </w:r>
      <w:r w:rsidR="00CD220A">
        <w:rPr>
          <w:rFonts w:ascii="Calibri" w:hAnsi="Calibri" w:cs="Calibri"/>
          <w:szCs w:val="24"/>
          <w:lang w:eastAsia="zh-CN"/>
        </w:rPr>
        <w:t>a negocjacjom ani zmianom. Cena musi być podana i wyliczona</w:t>
      </w:r>
      <w:r w:rsidRPr="007704D2">
        <w:rPr>
          <w:rFonts w:ascii="Calibri" w:hAnsi="Calibri" w:cs="Calibri"/>
          <w:szCs w:val="24"/>
          <w:lang w:eastAsia="zh-CN"/>
        </w:rPr>
        <w:t xml:space="preserve"> w zaokrągleniu do dwóch miejsc po przecinku (zasada </w:t>
      </w:r>
      <w:r w:rsidRPr="007704D2">
        <w:rPr>
          <w:rFonts w:ascii="Calibri" w:hAnsi="Calibri" w:cs="Calibri"/>
          <w:szCs w:val="24"/>
          <w:lang w:eastAsia="zh-CN"/>
        </w:rPr>
        <w:lastRenderedPageBreak/>
        <w:t xml:space="preserve">zaokrąglania – poniżej 0,005 należy zaokrąglić w dół, powyżej i równe należy zaokrąglić w górę). </w:t>
      </w:r>
    </w:p>
    <w:p w:rsidR="007704D2" w:rsidRDefault="007704D2" w:rsidP="009075CC">
      <w:pPr>
        <w:pStyle w:val="Akapitzlist"/>
        <w:keepNext/>
        <w:numPr>
          <w:ilvl w:val="1"/>
          <w:numId w:val="29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9075CC">
      <w:pPr>
        <w:pStyle w:val="Akapitzlist"/>
        <w:keepNext/>
        <w:numPr>
          <w:ilvl w:val="1"/>
          <w:numId w:val="29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7704D2" w:rsidRPr="007704D2" w:rsidRDefault="007704D2" w:rsidP="009075CC">
      <w:pPr>
        <w:pStyle w:val="Akapitzlist"/>
        <w:keepNext/>
        <w:numPr>
          <w:ilvl w:val="1"/>
          <w:numId w:val="29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Jeżeli zostanie złożona oferta, której wybór prowadziłby do powstania u Zamawiającego obowiązku podatkowego zgodnie z ustawą z dnia 11 marca 2004 r. o podatku od towarów i usług (Dz. U. z 2018 r. poz. 2174, z późn. zm.), dla celów zastosowania kryterium ceny lub kosztu Zamawiający doliczy do przedstawionej w tej ofercie ceny kwotę podatku od towarów i usług, którą miałby obowiązek rozliczyć. W ofercie, której wybór prowadziłby do powstania u Zamawiającego obowiązku podatkowego Wykonawca ma obowiązek:</w:t>
      </w:r>
    </w:p>
    <w:p w:rsidR="007704D2" w:rsidRPr="007704D2" w:rsidRDefault="007704D2" w:rsidP="009075CC">
      <w:pPr>
        <w:pStyle w:val="Akapitzlist"/>
        <w:numPr>
          <w:ilvl w:val="0"/>
          <w:numId w:val="28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poinformowania Zamawiającego, że wybór jego oferty będzie prowadził do powstania u Zamawiającego obowiązku podatkowego;</w:t>
      </w:r>
    </w:p>
    <w:p w:rsidR="007704D2" w:rsidRPr="007704D2" w:rsidRDefault="007704D2" w:rsidP="009075CC">
      <w:pPr>
        <w:pStyle w:val="Akapitzlist"/>
        <w:numPr>
          <w:ilvl w:val="0"/>
          <w:numId w:val="28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nazwy (rodzaju) towaru lub usługi, których dostawa lub świadczenie będą prowadziły do powstania obowiązku podatkowego;</w:t>
      </w:r>
    </w:p>
    <w:p w:rsidR="007704D2" w:rsidRPr="007704D2" w:rsidRDefault="007704D2" w:rsidP="009075CC">
      <w:pPr>
        <w:pStyle w:val="Akapitzlist"/>
        <w:numPr>
          <w:ilvl w:val="0"/>
          <w:numId w:val="28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wartości towaru lub usługi objętego obowiązkiem podatkowym Zamawiającego, bez kwoty podatku;</w:t>
      </w:r>
    </w:p>
    <w:p w:rsidR="007704D2" w:rsidRPr="007704D2" w:rsidRDefault="007704D2" w:rsidP="009075CC">
      <w:pPr>
        <w:pStyle w:val="Akapitzlist"/>
        <w:numPr>
          <w:ilvl w:val="0"/>
          <w:numId w:val="28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 xml:space="preserve">wskazania stawki podatku od towarów i usług, która zgodnie z wiedzą Wykonawcy, będzie miała zastosowanie. </w:t>
      </w:r>
    </w:p>
    <w:p w:rsidR="007704D2" w:rsidRPr="007704D2" w:rsidRDefault="007704D2" w:rsidP="00474ACC">
      <w:pPr>
        <w:spacing w:line="288" w:lineRule="auto"/>
        <w:ind w:left="993" w:firstLine="0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 celu oceny takiej ofert, Zamawiający doliczy należny podatek VAT do oferty Wykonawcy, uwzględniającej jedynie wartość netto Przedmiotu zamówienia.</w:t>
      </w:r>
    </w:p>
    <w:p w:rsidR="00DD0C8B" w:rsidRPr="00216644" w:rsidRDefault="00DD0C8B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9075CC">
      <w:pPr>
        <w:pStyle w:val="Akapitzlist"/>
        <w:numPr>
          <w:ilvl w:val="0"/>
          <w:numId w:val="4"/>
        </w:numPr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827B38" w:rsidRPr="00216644" w:rsidRDefault="004768F6" w:rsidP="003F0066">
      <w:pPr>
        <w:spacing w:after="133" w:line="271" w:lineRule="auto"/>
        <w:ind w:right="48" w:firstLine="436"/>
        <w:rPr>
          <w:rFonts w:ascii="Calibri" w:hAnsi="Calibri" w:cs="Calibri"/>
        </w:rPr>
      </w:pPr>
      <w:r>
        <w:rPr>
          <w:rFonts w:ascii="Calibri" w:hAnsi="Calibri" w:cs="Calibri"/>
        </w:rPr>
        <w:t>Zamawiający nie wymaga wniesienia wadium.</w:t>
      </w:r>
    </w:p>
    <w:p w:rsidR="00C80FBC" w:rsidRPr="00A15A4D" w:rsidRDefault="000C52EF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 w:rsidR="00DD0C8B"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C03C76">
        <w:rPr>
          <w:rFonts w:ascii="Calibri" w:hAnsi="Calibri" w:cs="Calibri"/>
        </w:rPr>
        <w:t>25</w:t>
      </w:r>
      <w:bookmarkStart w:id="0" w:name="_GoBack"/>
      <w:bookmarkEnd w:id="0"/>
      <w:r w:rsidR="003F0066">
        <w:rPr>
          <w:rFonts w:ascii="Calibri" w:hAnsi="Calibri" w:cs="Calibri"/>
        </w:rPr>
        <w:t>.11</w:t>
      </w:r>
      <w:r w:rsidR="00CB2365" w:rsidRPr="00A15A4D">
        <w:rPr>
          <w:rFonts w:ascii="Calibri" w:hAnsi="Calibri" w:cs="Calibri"/>
        </w:rPr>
        <w:t>.</w:t>
      </w:r>
      <w:r w:rsidR="00430AA5">
        <w:rPr>
          <w:rFonts w:ascii="Calibri" w:hAnsi="Calibri" w:cs="Calibri"/>
        </w:rPr>
        <w:t>2022</w:t>
      </w:r>
      <w:r w:rsidR="00255FA9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DD0C8B">
      <w:pPr>
        <w:spacing w:after="69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CD6D13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F0066" w:rsidRDefault="003F0066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F0066" w:rsidRDefault="003F0066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F0066" w:rsidRDefault="003F0066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F0066" w:rsidRPr="00216644" w:rsidRDefault="003F0066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9075CC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</w:t>
      </w:r>
      <w:r w:rsidR="00827B38">
        <w:rPr>
          <w:rFonts w:ascii="Calibri" w:hAnsi="Calibri" w:cs="Calibri"/>
          <w:color w:val="auto"/>
          <w:szCs w:val="24"/>
        </w:rPr>
        <w:t>kryterium:</w:t>
      </w:r>
    </w:p>
    <w:p w:rsidR="0005573A" w:rsidRPr="0005573A" w:rsidRDefault="0005573A" w:rsidP="009075CC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827B3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827B3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827B38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  <w:r w:rsidR="0005573A"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827B38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  <w:tr w:rsidR="0005573A" w:rsidRPr="0005573A" w:rsidTr="00827B38">
        <w:trPr>
          <w:trHeight w:val="335"/>
          <w:jc w:val="center"/>
        </w:trPr>
        <w:tc>
          <w:tcPr>
            <w:tcW w:w="5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</w:t>
      </w:r>
      <w:r w:rsidR="00827B38">
        <w:rPr>
          <w:rFonts w:ascii="Calibri" w:hAnsi="Calibri" w:cs="Calibri"/>
          <w:color w:val="auto"/>
          <w:szCs w:val="24"/>
        </w:rPr>
        <w:t>awcy w kryterium cena oferty – 10</w:t>
      </w:r>
      <w:r w:rsidRPr="0005573A">
        <w:rPr>
          <w:rFonts w:ascii="Calibri" w:hAnsi="Calibri" w:cs="Calibri"/>
          <w:color w:val="auto"/>
          <w:szCs w:val="24"/>
        </w:rPr>
        <w:t>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</w:t>
      </w:r>
      <w:r w:rsidR="00827B38">
        <w:rPr>
          <w:rFonts w:ascii="Calibri" w:hAnsi="Calibri" w:cs="Calibri"/>
          <w:color w:val="auto"/>
          <w:szCs w:val="24"/>
        </w:rPr>
        <w:t>aksymalną ilość punktów, czyli 10</w:t>
      </w:r>
      <w:r w:rsidRPr="0005573A">
        <w:rPr>
          <w:rFonts w:ascii="Calibri" w:hAnsi="Calibri" w:cs="Calibri"/>
          <w:color w:val="auto"/>
          <w:szCs w:val="24"/>
        </w:rPr>
        <w:t>0 pkt.</w:t>
      </w:r>
    </w:p>
    <w:p w:rsidR="00827B38" w:rsidRPr="0005573A" w:rsidRDefault="0005573A" w:rsidP="00D44326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="00827B38">
        <w:rPr>
          <w:rFonts w:ascii="Calibri" w:hAnsi="Calibri" w:cs="Calibri"/>
          <w:b/>
          <w:color w:val="auto"/>
          <w:szCs w:val="24"/>
        </w:rPr>
        <w:t>x 10</w:t>
      </w:r>
      <w:r w:rsidRPr="0005573A">
        <w:rPr>
          <w:rFonts w:ascii="Calibri" w:hAnsi="Calibri" w:cs="Calibri"/>
          <w:b/>
          <w:color w:val="auto"/>
          <w:szCs w:val="24"/>
        </w:rPr>
        <w:t>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6924E1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474ACC" w:rsidRDefault="006924E1" w:rsidP="006924E1">
      <w:pPr>
        <w:spacing w:after="0" w:line="240" w:lineRule="auto"/>
        <w:ind w:left="426" w:firstLine="0"/>
        <w:jc w:val="left"/>
        <w:rPr>
          <w:rFonts w:ascii="Calibri" w:hAnsi="Calibri" w:cs="Calibri"/>
          <w:color w:val="auto"/>
          <w:szCs w:val="24"/>
        </w:rPr>
      </w:pPr>
      <w:r w:rsidRPr="006924E1">
        <w:rPr>
          <w:rFonts w:ascii="Calibri" w:hAnsi="Calibri" w:cs="Calibri"/>
          <w:color w:val="auto"/>
          <w:szCs w:val="24"/>
          <w:vertAlign w:val="superscript"/>
        </w:rPr>
        <w:t xml:space="preserve">     </w:t>
      </w:r>
      <w:r w:rsidRPr="006924E1">
        <w:rPr>
          <w:rFonts w:ascii="Calibri" w:hAnsi="Calibri" w:cs="Calibri"/>
          <w:color w:val="auto"/>
          <w:szCs w:val="24"/>
        </w:rPr>
        <w:t xml:space="preserve">Maksymalną ilość punktów w ww. kryterium otrzyma oferta z najniższą ceną brutto. </w:t>
      </w:r>
    </w:p>
    <w:p w:rsidR="006924E1" w:rsidRPr="006924E1" w:rsidRDefault="006924E1" w:rsidP="006924E1">
      <w:pPr>
        <w:spacing w:after="0" w:line="240" w:lineRule="auto"/>
        <w:ind w:left="426" w:firstLine="0"/>
        <w:jc w:val="left"/>
        <w:rPr>
          <w:rFonts w:ascii="Calibri" w:hAnsi="Calibri" w:cs="Calibri"/>
          <w:color w:val="auto"/>
          <w:szCs w:val="24"/>
        </w:rPr>
      </w:pPr>
    </w:p>
    <w:p w:rsidR="004176DF" w:rsidRPr="00AD5F86" w:rsidRDefault="004176DF" w:rsidP="009075CC">
      <w:pPr>
        <w:numPr>
          <w:ilvl w:val="0"/>
          <w:numId w:val="5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B72CF0" w:rsidRDefault="00430AA5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FC7996" w:rsidRPr="00FC7996" w:rsidRDefault="00FC7996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FC7996" w:rsidRPr="00D94595" w:rsidRDefault="002F11B9" w:rsidP="009075CC">
      <w:pPr>
        <w:pStyle w:val="Akapitzlist"/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zawiera umowę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w sprawie zamówienia</w:t>
      </w:r>
      <w:r w:rsidR="00474ACC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publicznego, z uwzględnieniem art. 577 Pzp, w terminie nie krótszym niż 5 dni od dnia przesłania zawiadomienia o wyborze </w:t>
      </w:r>
      <w:r w:rsidRPr="00FC7996">
        <w:rPr>
          <w:rFonts w:ascii="Calibri" w:eastAsia="Trebuchet MS" w:hAnsi="Calibri" w:cs="Calibri"/>
        </w:rPr>
        <w:lastRenderedPageBreak/>
        <w:t>najkorzystniejszej oferty,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zawiadomienie to zostało przesłane przy użyciu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środk</w:t>
      </w:r>
      <w:r w:rsidRPr="00FC7996">
        <w:rPr>
          <w:rFonts w:ascii="Calibri" w:eastAsia="Arial" w:hAnsi="Calibri" w:cs="Calibri"/>
        </w:rPr>
        <w:t>ó</w:t>
      </w:r>
      <w:r w:rsidRPr="00FC7996">
        <w:rPr>
          <w:rFonts w:ascii="Calibri" w:eastAsia="Trebuchet MS" w:hAnsi="Calibri" w:cs="Calibri"/>
        </w:rPr>
        <w:t>w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komunikacji elektronicznej, albo 10 dni,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zawrzeć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umowę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w sprawie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 przed upływem terminu, o którym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mowa w ust. 1,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 postepowaniu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o udzielenie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złożono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tylko jedna ofertę.</w:t>
      </w:r>
    </w:p>
    <w:p w:rsid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>
        <w:rPr>
          <w:rFonts w:ascii="Calibri" w:eastAsia="Trebuchet MS" w:hAnsi="Calibri" w:cs="Calibri"/>
          <w:color w:val="000000" w:themeColor="text1"/>
        </w:rPr>
        <w:t>załącznik Nr 2</w:t>
      </w:r>
      <w:r w:rsidRPr="00FC7996">
        <w:rPr>
          <w:rFonts w:ascii="Calibri" w:eastAsia="Trebuchet MS" w:hAnsi="Calibri" w:cs="Calibri"/>
          <w:color w:val="000000" w:themeColor="text1"/>
        </w:rPr>
        <w:t xml:space="preserve"> do SWZ</w:t>
      </w:r>
      <w:r w:rsidRPr="00FC7996">
        <w:rPr>
          <w:rFonts w:ascii="Calibri" w:eastAsia="Trebuchet MS" w:hAnsi="Calibri" w:cs="Calibri"/>
          <w:color w:val="C00000"/>
        </w:rPr>
        <w:t xml:space="preserve">. </w:t>
      </w:r>
      <w:r w:rsidRPr="00FC799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FC7996" w:rsidRDefault="00FC7996" w:rsidP="009075CC">
      <w:pPr>
        <w:pStyle w:val="Akapitzlist"/>
        <w:numPr>
          <w:ilvl w:val="1"/>
          <w:numId w:val="27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Wykonawca, którego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oferta została wybrana jako najkorzystniejsza, uchyla się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od zawarcia umowy w sprawie zamówienia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publicznego 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dokonać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ponownego badania i oceny ofert spoś</w:t>
      </w:r>
      <w:r w:rsidRPr="00FC7996">
        <w:rPr>
          <w:rFonts w:ascii="Calibri" w:eastAsia="Arial" w:hAnsi="Calibri" w:cs="Calibri"/>
        </w:rPr>
        <w:t>r</w:t>
      </w:r>
      <w:r w:rsidRPr="00FC7996">
        <w:rPr>
          <w:rFonts w:ascii="Calibri" w:eastAsia="Trebuchet MS" w:hAnsi="Calibri" w:cs="Calibri"/>
        </w:rPr>
        <w:t>ód ofert pozostałych w postepowaniu Wykonawców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albo unieważni</w:t>
      </w:r>
      <w:r>
        <w:rPr>
          <w:rFonts w:ascii="Calibri" w:eastAsia="Arial" w:hAnsi="Calibri" w:cs="Calibri"/>
        </w:rPr>
        <w:t>ć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́ </w:t>
      </w:r>
      <w:r>
        <w:rPr>
          <w:rFonts w:ascii="Calibri" w:eastAsia="Trebuchet MS" w:hAnsi="Calibri" w:cs="Calibri"/>
        </w:rPr>
        <w:t>postę</w:t>
      </w:r>
      <w:r w:rsidRPr="00FC7996">
        <w:rPr>
          <w:rFonts w:ascii="Calibri" w:eastAsia="Trebuchet MS" w:hAnsi="Calibri" w:cs="Calibri"/>
        </w:rPr>
        <w:t>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9075CC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827B38">
        <w:rPr>
          <w:rFonts w:ascii="Calibri" w:hAnsi="Calibri" w:cs="Calibri"/>
        </w:rPr>
        <w:t xml:space="preserve">nie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9075CC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9B517E" w:rsidRPr="00AD5F86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9075CC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9075CC">
      <w:pPr>
        <w:pStyle w:val="Akapitzlist"/>
        <w:numPr>
          <w:ilvl w:val="1"/>
          <w:numId w:val="5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9075CC">
      <w:pPr>
        <w:pStyle w:val="Akapitzlist"/>
        <w:numPr>
          <w:ilvl w:val="1"/>
          <w:numId w:val="5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9075CC">
      <w:pPr>
        <w:pStyle w:val="Akapitzlist"/>
        <w:numPr>
          <w:ilvl w:val="0"/>
          <w:numId w:val="12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9075CC">
      <w:pPr>
        <w:pStyle w:val="Akapitzlist"/>
        <w:numPr>
          <w:ilvl w:val="0"/>
          <w:numId w:val="12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9075CC">
      <w:pPr>
        <w:pStyle w:val="Akapitzlist"/>
        <w:numPr>
          <w:ilvl w:val="1"/>
          <w:numId w:val="24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9075CC">
      <w:pPr>
        <w:pStyle w:val="Akapitzlist"/>
        <w:numPr>
          <w:ilvl w:val="1"/>
          <w:numId w:val="24"/>
        </w:numPr>
        <w:spacing w:after="110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D44326" w:rsidRPr="00216644" w:rsidRDefault="00D44326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9075CC">
      <w:pPr>
        <w:numPr>
          <w:ilvl w:val="0"/>
          <w:numId w:val="24"/>
        </w:numPr>
        <w:spacing w:after="133" w:line="271" w:lineRule="auto"/>
        <w:ind w:left="426" w:right="48" w:hanging="284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DD0C8B">
      <w:pPr>
        <w:pStyle w:val="Akapitzlist"/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0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9075CC">
      <w:pPr>
        <w:pStyle w:val="Akapitzlist"/>
        <w:numPr>
          <w:ilvl w:val="0"/>
          <w:numId w:val="13"/>
        </w:numPr>
        <w:spacing w:after="111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9075CC">
      <w:pPr>
        <w:pStyle w:val="Akapitzlist"/>
        <w:numPr>
          <w:ilvl w:val="0"/>
          <w:numId w:val="14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002345" w:rsidRPr="00DD0C8B" w:rsidRDefault="00D82595" w:rsidP="00DD0C8B">
      <w:pPr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E93F2A" w:rsidRPr="00216644" w:rsidRDefault="00E93F2A" w:rsidP="008D3049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501785" w:rsidRPr="00474ACC" w:rsidRDefault="00D82595" w:rsidP="009075CC">
      <w:pPr>
        <w:numPr>
          <w:ilvl w:val="0"/>
          <w:numId w:val="2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9075CC">
      <w:pPr>
        <w:pStyle w:val="Akapitzlist"/>
        <w:numPr>
          <w:ilvl w:val="3"/>
          <w:numId w:val="25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9075CC">
      <w:pPr>
        <w:pStyle w:val="Akapitzlist"/>
        <w:numPr>
          <w:ilvl w:val="1"/>
          <w:numId w:val="26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9075CC">
      <w:pPr>
        <w:pStyle w:val="Akapitzlist"/>
        <w:numPr>
          <w:ilvl w:val="1"/>
          <w:numId w:val="26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9075CC">
      <w:pPr>
        <w:pStyle w:val="Akapitzlist"/>
        <w:numPr>
          <w:ilvl w:val="1"/>
          <w:numId w:val="26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002345" w:rsidRPr="0074282C" w:rsidRDefault="0074282C" w:rsidP="009075CC">
      <w:pPr>
        <w:pStyle w:val="Akapitzlist"/>
        <w:numPr>
          <w:ilvl w:val="3"/>
          <w:numId w:val="25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0E1B20" w:rsidP="00501785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09B" w:rsidRDefault="00D9109B">
      <w:pPr>
        <w:spacing w:after="0" w:line="240" w:lineRule="auto"/>
      </w:pPr>
      <w:r>
        <w:separator/>
      </w:r>
    </w:p>
  </w:endnote>
  <w:endnote w:type="continuationSeparator" w:id="0">
    <w:p w:rsidR="00D9109B" w:rsidRDefault="00D9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3C76">
      <w:rPr>
        <w:noProof/>
      </w:rPr>
      <w:t>20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3C76">
      <w:rPr>
        <w:noProof/>
      </w:rPr>
      <w:t>19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09B" w:rsidRDefault="00D9109B">
      <w:pPr>
        <w:spacing w:after="0" w:line="240" w:lineRule="auto"/>
      </w:pPr>
      <w:r>
        <w:separator/>
      </w:r>
    </w:p>
  </w:footnote>
  <w:footnote w:type="continuationSeparator" w:id="0">
    <w:p w:rsidR="00D9109B" w:rsidRDefault="00D9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5707D0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8</w:t>
    </w:r>
    <w:r w:rsidR="004C0DA9" w:rsidRPr="0074282C">
      <w:rPr>
        <w:rFonts w:ascii="Calibri" w:hAnsi="Calibri" w:cs="Calibri"/>
        <w:b/>
        <w:sz w:val="20"/>
        <w:szCs w:val="20"/>
      </w:rPr>
      <w:t>/2022</w:t>
    </w:r>
  </w:p>
  <w:p w:rsidR="004C0DA9" w:rsidRDefault="004C0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5707D0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8</w:t>
    </w:r>
    <w:r w:rsidR="004C0DA9">
      <w:rPr>
        <w:rFonts w:ascii="Calibri" w:hAnsi="Calibri" w:cs="Calibri"/>
        <w:b/>
        <w:sz w:val="20"/>
        <w:szCs w:val="20"/>
      </w:rPr>
      <w:t>/</w:t>
    </w:r>
    <w:r w:rsidR="004C0DA9" w:rsidRPr="0074282C">
      <w:rPr>
        <w:rFonts w:ascii="Calibri" w:hAnsi="Calibri" w:cs="Calibri"/>
        <w:b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F3611F"/>
    <w:multiLevelType w:val="multilevel"/>
    <w:tmpl w:val="B22495B2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1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A3ACB"/>
    <w:multiLevelType w:val="hybridMultilevel"/>
    <w:tmpl w:val="9668BAB2"/>
    <w:lvl w:ilvl="0" w:tplc="DFF45612">
      <w:start w:val="1"/>
      <w:numFmt w:val="lowerLetter"/>
      <w:lvlText w:val="%1)"/>
      <w:lvlJc w:val="left"/>
      <w:pPr>
        <w:ind w:left="105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40FA">
      <w:start w:val="1"/>
      <w:numFmt w:val="lowerLetter"/>
      <w:lvlText w:val="%2"/>
      <w:lvlJc w:val="left"/>
      <w:pPr>
        <w:ind w:left="1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A9A">
      <w:start w:val="1"/>
      <w:numFmt w:val="lowerRoman"/>
      <w:lvlText w:val="%3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188A">
      <w:start w:val="1"/>
      <w:numFmt w:val="decimal"/>
      <w:lvlText w:val="%4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E96C">
      <w:start w:val="1"/>
      <w:numFmt w:val="lowerLetter"/>
      <w:lvlText w:val="%5"/>
      <w:lvlJc w:val="left"/>
      <w:pPr>
        <w:ind w:left="3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61AC8">
      <w:start w:val="1"/>
      <w:numFmt w:val="lowerRoman"/>
      <w:lvlText w:val="%6"/>
      <w:lvlJc w:val="left"/>
      <w:pPr>
        <w:ind w:left="4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0C042">
      <w:start w:val="1"/>
      <w:numFmt w:val="decimal"/>
      <w:lvlText w:val="%7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27906">
      <w:start w:val="1"/>
      <w:numFmt w:val="lowerLetter"/>
      <w:lvlText w:val="%8"/>
      <w:lvlJc w:val="left"/>
      <w:pPr>
        <w:ind w:left="5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A770">
      <w:start w:val="1"/>
      <w:numFmt w:val="lowerRoman"/>
      <w:lvlText w:val="%9"/>
      <w:lvlJc w:val="left"/>
      <w:pPr>
        <w:ind w:left="6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8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1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531B84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AE0D50"/>
    <w:multiLevelType w:val="multilevel"/>
    <w:tmpl w:val="1A32386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4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A8734C5"/>
    <w:multiLevelType w:val="hybridMultilevel"/>
    <w:tmpl w:val="6C42B4F6"/>
    <w:lvl w:ilvl="0" w:tplc="AB463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1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2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3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5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7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9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1F5E93"/>
    <w:multiLevelType w:val="hybridMultilevel"/>
    <w:tmpl w:val="CFD4A7FA"/>
    <w:lvl w:ilvl="0" w:tplc="530E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 w15:restartNumberingAfterBreak="0">
    <w:nsid w:val="67AA3D11"/>
    <w:multiLevelType w:val="multilevel"/>
    <w:tmpl w:val="58041A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4" w15:restartNumberingAfterBreak="0">
    <w:nsid w:val="6A4701F6"/>
    <w:multiLevelType w:val="hybridMultilevel"/>
    <w:tmpl w:val="E71A6910"/>
    <w:lvl w:ilvl="0" w:tplc="F6B87B78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7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8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9576DA"/>
    <w:multiLevelType w:val="hybridMultilevel"/>
    <w:tmpl w:val="62165EEE"/>
    <w:lvl w:ilvl="0" w:tplc="DBCA6C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CB3BE">
      <w:start w:val="1"/>
      <w:numFmt w:val="lowerLetter"/>
      <w:lvlText w:val="%2"/>
      <w:lvlJc w:val="left"/>
      <w:pPr>
        <w:ind w:left="68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8D178">
      <w:start w:val="1"/>
      <w:numFmt w:val="decimal"/>
      <w:lvlRestart w:val="0"/>
      <w:lvlText w:val="%3)"/>
      <w:lvlJc w:val="left"/>
      <w:pPr>
        <w:ind w:left="1423"/>
      </w:pPr>
      <w:rPr>
        <w:rFonts w:ascii="Calibri" w:eastAsia="Arial" w:hAnsi="Calibri" w:cs="Calibri" w:hint="default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A9ECA">
      <w:start w:val="1"/>
      <w:numFmt w:val="decimal"/>
      <w:lvlText w:val="%4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ACA0C">
      <w:start w:val="1"/>
      <w:numFmt w:val="lowerLetter"/>
      <w:lvlText w:val="%5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20FA4">
      <w:start w:val="1"/>
      <w:numFmt w:val="lowerRoman"/>
      <w:lvlText w:val="%6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E9C70">
      <w:start w:val="1"/>
      <w:numFmt w:val="decimal"/>
      <w:lvlText w:val="%7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EAE92">
      <w:start w:val="1"/>
      <w:numFmt w:val="lowerLetter"/>
      <w:lvlText w:val="%8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0C0C0">
      <w:start w:val="1"/>
      <w:numFmt w:val="lowerRoman"/>
      <w:lvlText w:val="%9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14"/>
  </w:num>
  <w:num w:numId="3">
    <w:abstractNumId w:val="40"/>
  </w:num>
  <w:num w:numId="4">
    <w:abstractNumId w:val="19"/>
  </w:num>
  <w:num w:numId="5">
    <w:abstractNumId w:val="38"/>
  </w:num>
  <w:num w:numId="6">
    <w:abstractNumId w:val="9"/>
  </w:num>
  <w:num w:numId="7">
    <w:abstractNumId w:val="25"/>
  </w:num>
  <w:num w:numId="8">
    <w:abstractNumId w:val="17"/>
  </w:num>
  <w:num w:numId="9">
    <w:abstractNumId w:val="29"/>
  </w:num>
  <w:num w:numId="10">
    <w:abstractNumId w:val="5"/>
  </w:num>
  <w:num w:numId="11">
    <w:abstractNumId w:val="21"/>
  </w:num>
  <w:num w:numId="12">
    <w:abstractNumId w:val="37"/>
  </w:num>
  <w:num w:numId="13">
    <w:abstractNumId w:val="15"/>
  </w:num>
  <w:num w:numId="14">
    <w:abstractNumId w:val="31"/>
  </w:num>
  <w:num w:numId="15">
    <w:abstractNumId w:val="24"/>
  </w:num>
  <w:num w:numId="16">
    <w:abstractNumId w:val="7"/>
  </w:num>
  <w:num w:numId="17">
    <w:abstractNumId w:val="18"/>
  </w:num>
  <w:num w:numId="18">
    <w:abstractNumId w:val="32"/>
  </w:num>
  <w:num w:numId="19">
    <w:abstractNumId w:val="36"/>
  </w:num>
  <w:num w:numId="20">
    <w:abstractNumId w:val="10"/>
  </w:num>
  <w:num w:numId="21">
    <w:abstractNumId w:val="28"/>
  </w:num>
  <w:num w:numId="22">
    <w:abstractNumId w:val="1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20"/>
  </w:num>
  <w:num w:numId="32">
    <w:abstractNumId w:val="34"/>
  </w:num>
  <w:num w:numId="33">
    <w:abstractNumId w:val="16"/>
  </w:num>
  <w:num w:numId="34">
    <w:abstractNumId w:val="30"/>
  </w:num>
  <w:num w:numId="35">
    <w:abstractNumId w:val="6"/>
  </w:num>
  <w:num w:numId="36">
    <w:abstractNumId w:val="3"/>
  </w:num>
  <w:num w:numId="37">
    <w:abstractNumId w:val="27"/>
  </w:num>
  <w:num w:numId="38">
    <w:abstractNumId w:val="41"/>
  </w:num>
  <w:num w:numId="3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4177E"/>
    <w:rsid w:val="00052CB9"/>
    <w:rsid w:val="0005573A"/>
    <w:rsid w:val="0006110C"/>
    <w:rsid w:val="0008287F"/>
    <w:rsid w:val="00091142"/>
    <w:rsid w:val="0009221F"/>
    <w:rsid w:val="000C13BC"/>
    <w:rsid w:val="000C52EF"/>
    <w:rsid w:val="000C550C"/>
    <w:rsid w:val="000E05B6"/>
    <w:rsid w:val="000E1B20"/>
    <w:rsid w:val="000E568E"/>
    <w:rsid w:val="000F1199"/>
    <w:rsid w:val="000F22B1"/>
    <w:rsid w:val="00101333"/>
    <w:rsid w:val="001154FC"/>
    <w:rsid w:val="00123FF7"/>
    <w:rsid w:val="00125704"/>
    <w:rsid w:val="00135360"/>
    <w:rsid w:val="001403A5"/>
    <w:rsid w:val="0014088F"/>
    <w:rsid w:val="00152702"/>
    <w:rsid w:val="00163204"/>
    <w:rsid w:val="0016533A"/>
    <w:rsid w:val="001701AB"/>
    <w:rsid w:val="001845F3"/>
    <w:rsid w:val="00193E88"/>
    <w:rsid w:val="001A4B2A"/>
    <w:rsid w:val="001B7746"/>
    <w:rsid w:val="001C77EF"/>
    <w:rsid w:val="001E6420"/>
    <w:rsid w:val="001F2C9F"/>
    <w:rsid w:val="00203C26"/>
    <w:rsid w:val="00211812"/>
    <w:rsid w:val="002138FD"/>
    <w:rsid w:val="00213DA7"/>
    <w:rsid w:val="00216644"/>
    <w:rsid w:val="002371FF"/>
    <w:rsid w:val="00244E36"/>
    <w:rsid w:val="00255FA9"/>
    <w:rsid w:val="00263A59"/>
    <w:rsid w:val="00273488"/>
    <w:rsid w:val="00273CFE"/>
    <w:rsid w:val="00290E30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E0C8F"/>
    <w:rsid w:val="002E6300"/>
    <w:rsid w:val="002F11B9"/>
    <w:rsid w:val="003119D3"/>
    <w:rsid w:val="00330ECF"/>
    <w:rsid w:val="00367491"/>
    <w:rsid w:val="00380D20"/>
    <w:rsid w:val="00383347"/>
    <w:rsid w:val="003B6A34"/>
    <w:rsid w:val="003C5DC8"/>
    <w:rsid w:val="003F0066"/>
    <w:rsid w:val="004176DF"/>
    <w:rsid w:val="004224B0"/>
    <w:rsid w:val="00430AA5"/>
    <w:rsid w:val="00433C37"/>
    <w:rsid w:val="00440240"/>
    <w:rsid w:val="0044455B"/>
    <w:rsid w:val="004475B2"/>
    <w:rsid w:val="00455E54"/>
    <w:rsid w:val="00463347"/>
    <w:rsid w:val="00467C1E"/>
    <w:rsid w:val="004740C6"/>
    <w:rsid w:val="00474ACC"/>
    <w:rsid w:val="004768F6"/>
    <w:rsid w:val="00477AF8"/>
    <w:rsid w:val="004865D4"/>
    <w:rsid w:val="0049453E"/>
    <w:rsid w:val="0049516B"/>
    <w:rsid w:val="004952D7"/>
    <w:rsid w:val="004C0DA9"/>
    <w:rsid w:val="004E3C69"/>
    <w:rsid w:val="004E7375"/>
    <w:rsid w:val="004E7474"/>
    <w:rsid w:val="00501785"/>
    <w:rsid w:val="00510476"/>
    <w:rsid w:val="00513A75"/>
    <w:rsid w:val="0051417A"/>
    <w:rsid w:val="00520CC4"/>
    <w:rsid w:val="00536C40"/>
    <w:rsid w:val="0054080D"/>
    <w:rsid w:val="0054793F"/>
    <w:rsid w:val="00550F66"/>
    <w:rsid w:val="00553995"/>
    <w:rsid w:val="005707D0"/>
    <w:rsid w:val="00586E4F"/>
    <w:rsid w:val="0059678F"/>
    <w:rsid w:val="0059724F"/>
    <w:rsid w:val="005E35EA"/>
    <w:rsid w:val="005F5176"/>
    <w:rsid w:val="00601AB2"/>
    <w:rsid w:val="006119B7"/>
    <w:rsid w:val="00636E27"/>
    <w:rsid w:val="00651358"/>
    <w:rsid w:val="006572A5"/>
    <w:rsid w:val="00657A26"/>
    <w:rsid w:val="00661D99"/>
    <w:rsid w:val="006924E1"/>
    <w:rsid w:val="006B158E"/>
    <w:rsid w:val="006B50B2"/>
    <w:rsid w:val="006B5FF4"/>
    <w:rsid w:val="006C0CD8"/>
    <w:rsid w:val="006C2A8D"/>
    <w:rsid w:val="007074C9"/>
    <w:rsid w:val="0071027A"/>
    <w:rsid w:val="00721153"/>
    <w:rsid w:val="007272FA"/>
    <w:rsid w:val="0073059B"/>
    <w:rsid w:val="0074103C"/>
    <w:rsid w:val="0074282C"/>
    <w:rsid w:val="00745551"/>
    <w:rsid w:val="00757206"/>
    <w:rsid w:val="00763301"/>
    <w:rsid w:val="007704D2"/>
    <w:rsid w:val="00776066"/>
    <w:rsid w:val="00782378"/>
    <w:rsid w:val="00783C53"/>
    <w:rsid w:val="00793C74"/>
    <w:rsid w:val="007A3580"/>
    <w:rsid w:val="007B1480"/>
    <w:rsid w:val="007C147F"/>
    <w:rsid w:val="007F428B"/>
    <w:rsid w:val="007F53B1"/>
    <w:rsid w:val="00810A3F"/>
    <w:rsid w:val="008110A9"/>
    <w:rsid w:val="00825518"/>
    <w:rsid w:val="00825A52"/>
    <w:rsid w:val="00827B38"/>
    <w:rsid w:val="00827CF0"/>
    <w:rsid w:val="00854EF9"/>
    <w:rsid w:val="008643EC"/>
    <w:rsid w:val="00865F03"/>
    <w:rsid w:val="00871DC6"/>
    <w:rsid w:val="00876F83"/>
    <w:rsid w:val="00892455"/>
    <w:rsid w:val="008A34C4"/>
    <w:rsid w:val="008A7265"/>
    <w:rsid w:val="008B2714"/>
    <w:rsid w:val="008B4937"/>
    <w:rsid w:val="008C40B7"/>
    <w:rsid w:val="008D0CEB"/>
    <w:rsid w:val="008D3049"/>
    <w:rsid w:val="008D31B0"/>
    <w:rsid w:val="008D5F85"/>
    <w:rsid w:val="009075CC"/>
    <w:rsid w:val="00910E92"/>
    <w:rsid w:val="00941A6F"/>
    <w:rsid w:val="009667AC"/>
    <w:rsid w:val="00973810"/>
    <w:rsid w:val="0098045B"/>
    <w:rsid w:val="0098328D"/>
    <w:rsid w:val="009940E9"/>
    <w:rsid w:val="00997A60"/>
    <w:rsid w:val="009B517E"/>
    <w:rsid w:val="009B7DBD"/>
    <w:rsid w:val="009C36A4"/>
    <w:rsid w:val="009D1008"/>
    <w:rsid w:val="009D28BD"/>
    <w:rsid w:val="009D4979"/>
    <w:rsid w:val="009D72A3"/>
    <w:rsid w:val="009F501D"/>
    <w:rsid w:val="009F7151"/>
    <w:rsid w:val="00A00BD8"/>
    <w:rsid w:val="00A063B5"/>
    <w:rsid w:val="00A11CAE"/>
    <w:rsid w:val="00A15A4D"/>
    <w:rsid w:val="00A25A8E"/>
    <w:rsid w:val="00A45541"/>
    <w:rsid w:val="00A542AD"/>
    <w:rsid w:val="00A54975"/>
    <w:rsid w:val="00A63719"/>
    <w:rsid w:val="00A64127"/>
    <w:rsid w:val="00A67E8E"/>
    <w:rsid w:val="00AA0306"/>
    <w:rsid w:val="00AB3196"/>
    <w:rsid w:val="00AD4D64"/>
    <w:rsid w:val="00AD5F86"/>
    <w:rsid w:val="00B03169"/>
    <w:rsid w:val="00B15A03"/>
    <w:rsid w:val="00B15D46"/>
    <w:rsid w:val="00B17A35"/>
    <w:rsid w:val="00B31ACD"/>
    <w:rsid w:val="00B44994"/>
    <w:rsid w:val="00B54BB8"/>
    <w:rsid w:val="00B54BC3"/>
    <w:rsid w:val="00B703AF"/>
    <w:rsid w:val="00B72CF0"/>
    <w:rsid w:val="00B81757"/>
    <w:rsid w:val="00B81C0F"/>
    <w:rsid w:val="00B92D50"/>
    <w:rsid w:val="00B942A5"/>
    <w:rsid w:val="00B96C17"/>
    <w:rsid w:val="00BA50B1"/>
    <w:rsid w:val="00BB75BD"/>
    <w:rsid w:val="00BE6438"/>
    <w:rsid w:val="00BF18D9"/>
    <w:rsid w:val="00BF45B3"/>
    <w:rsid w:val="00BF51BD"/>
    <w:rsid w:val="00C03C76"/>
    <w:rsid w:val="00C22E9C"/>
    <w:rsid w:val="00C62038"/>
    <w:rsid w:val="00C63C24"/>
    <w:rsid w:val="00C760CB"/>
    <w:rsid w:val="00C80FBC"/>
    <w:rsid w:val="00CA3116"/>
    <w:rsid w:val="00CB2365"/>
    <w:rsid w:val="00CB2FD6"/>
    <w:rsid w:val="00CB7194"/>
    <w:rsid w:val="00CC0388"/>
    <w:rsid w:val="00CC6452"/>
    <w:rsid w:val="00CD220A"/>
    <w:rsid w:val="00CD45BA"/>
    <w:rsid w:val="00CD6D13"/>
    <w:rsid w:val="00CF1AB5"/>
    <w:rsid w:val="00D01702"/>
    <w:rsid w:val="00D04651"/>
    <w:rsid w:val="00D3766D"/>
    <w:rsid w:val="00D4002A"/>
    <w:rsid w:val="00D44326"/>
    <w:rsid w:val="00D47B61"/>
    <w:rsid w:val="00D50453"/>
    <w:rsid w:val="00D560C2"/>
    <w:rsid w:val="00D56146"/>
    <w:rsid w:val="00D66734"/>
    <w:rsid w:val="00D82595"/>
    <w:rsid w:val="00D9032C"/>
    <w:rsid w:val="00D9109B"/>
    <w:rsid w:val="00D94595"/>
    <w:rsid w:val="00DA0245"/>
    <w:rsid w:val="00DB4941"/>
    <w:rsid w:val="00DB66D5"/>
    <w:rsid w:val="00DC7486"/>
    <w:rsid w:val="00DC798F"/>
    <w:rsid w:val="00DD0C8B"/>
    <w:rsid w:val="00DE40DC"/>
    <w:rsid w:val="00DF1B86"/>
    <w:rsid w:val="00E120C0"/>
    <w:rsid w:val="00E160D3"/>
    <w:rsid w:val="00E57031"/>
    <w:rsid w:val="00E817A0"/>
    <w:rsid w:val="00E871B4"/>
    <w:rsid w:val="00E9077E"/>
    <w:rsid w:val="00E93F2A"/>
    <w:rsid w:val="00EA7AD9"/>
    <w:rsid w:val="00EB55F9"/>
    <w:rsid w:val="00EC619A"/>
    <w:rsid w:val="00F00115"/>
    <w:rsid w:val="00F15F71"/>
    <w:rsid w:val="00F447C7"/>
    <w:rsid w:val="00F61C19"/>
    <w:rsid w:val="00F64BC9"/>
    <w:rsid w:val="00F73E46"/>
    <w:rsid w:val="00F8461B"/>
    <w:rsid w:val="00F92EE2"/>
    <w:rsid w:val="00FB21EF"/>
    <w:rsid w:val="00FB3186"/>
    <w:rsid w:val="00FB5460"/>
    <w:rsid w:val="00FC7996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16AC7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info@muzeumrolnict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muzeumrolnictwa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1C21-F7D4-4949-9FBE-E868DFDE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20</Pages>
  <Words>6859</Words>
  <Characters>41157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6</cp:revision>
  <cp:lastPrinted>2022-03-11T14:05:00Z</cp:lastPrinted>
  <dcterms:created xsi:type="dcterms:W3CDTF">2022-10-17T11:12:00Z</dcterms:created>
  <dcterms:modified xsi:type="dcterms:W3CDTF">2022-10-18T07:30:00Z</dcterms:modified>
</cp:coreProperties>
</file>